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DC5D" w14:textId="2901219B" w:rsidR="006E0DFF" w:rsidRPr="009B3CDA" w:rsidRDefault="00F41097" w:rsidP="00F41097">
      <w:pPr>
        <w:kinsoku w:val="0"/>
        <w:overflowPunct w:val="0"/>
        <w:autoSpaceDE/>
        <w:autoSpaceDN/>
        <w:adjustRightInd/>
        <w:textAlignment w:val="baseline"/>
        <w:rPr>
          <w:b/>
          <w:sz w:val="28"/>
          <w:szCs w:val="28"/>
        </w:rPr>
      </w:pPr>
      <w:r w:rsidRPr="009B3CDA">
        <w:rPr>
          <w:b/>
          <w:sz w:val="28"/>
          <w:szCs w:val="28"/>
        </w:rPr>
        <w:t xml:space="preserve">6.16 </w:t>
      </w:r>
      <w:r w:rsidR="006E0DFF" w:rsidRPr="009B3CDA">
        <w:rPr>
          <w:b/>
          <w:sz w:val="28"/>
          <w:szCs w:val="28"/>
        </w:rPr>
        <w:t>Impeachment of a Law Enforcement Officer</w:t>
      </w:r>
    </w:p>
    <w:p w14:paraId="655AB91B" w14:textId="77777777" w:rsidR="00F41097" w:rsidRPr="009B3CDA" w:rsidRDefault="00F41097" w:rsidP="00F41097">
      <w:pPr>
        <w:kinsoku w:val="0"/>
        <w:overflowPunct w:val="0"/>
        <w:autoSpaceDE/>
        <w:autoSpaceDN/>
        <w:adjustRightInd/>
        <w:textAlignment w:val="baseline"/>
        <w:rPr>
          <w:b/>
          <w:sz w:val="28"/>
          <w:szCs w:val="28"/>
        </w:rPr>
      </w:pPr>
    </w:p>
    <w:p w14:paraId="3881BE2B" w14:textId="0DE0A07D" w:rsidR="006E0DFF" w:rsidRPr="009B3CDA" w:rsidRDefault="00F41097" w:rsidP="00F41097">
      <w:pPr>
        <w:kinsoku w:val="0"/>
        <w:overflowPunct w:val="0"/>
        <w:autoSpaceDE/>
        <w:autoSpaceDN/>
        <w:adjustRightInd/>
        <w:ind w:left="720" w:right="720"/>
        <w:jc w:val="both"/>
        <w:textAlignment w:val="baseline"/>
        <w:rPr>
          <w:b/>
          <w:spacing w:val="-1"/>
          <w:sz w:val="28"/>
          <w:szCs w:val="28"/>
        </w:rPr>
      </w:pPr>
      <w:r w:rsidRPr="009B3CDA">
        <w:rPr>
          <w:b/>
          <w:spacing w:val="-1"/>
          <w:sz w:val="28"/>
          <w:szCs w:val="28"/>
        </w:rPr>
        <w:t xml:space="preserve">(1) </w:t>
      </w:r>
      <w:r w:rsidR="006E0DFF" w:rsidRPr="009B3CDA">
        <w:rPr>
          <w:b/>
          <w:spacing w:val="-1"/>
          <w:sz w:val="28"/>
          <w:szCs w:val="28"/>
        </w:rPr>
        <w:t xml:space="preserve">A law enforcement witness is subject to the same rules governing the impeachment of any witness, as set forth in </w:t>
      </w:r>
      <w:r w:rsidR="00E87B70" w:rsidRPr="009B3CDA">
        <w:rPr>
          <w:b/>
          <w:spacing w:val="-1"/>
          <w:sz w:val="28"/>
          <w:szCs w:val="28"/>
        </w:rPr>
        <w:t xml:space="preserve">Guide to New York Evidence </w:t>
      </w:r>
      <w:r w:rsidR="006E0DFF" w:rsidRPr="009B3CDA">
        <w:rPr>
          <w:b/>
          <w:spacing w:val="-1"/>
          <w:sz w:val="28"/>
          <w:szCs w:val="28"/>
        </w:rPr>
        <w:t xml:space="preserve">rule 6.11. The credibility of a law enforcement witness </w:t>
      </w:r>
      <w:r w:rsidR="001C363C" w:rsidRPr="009B3CDA">
        <w:rPr>
          <w:b/>
          <w:spacing w:val="-1"/>
          <w:sz w:val="28"/>
          <w:szCs w:val="28"/>
        </w:rPr>
        <w:t xml:space="preserve">therefore </w:t>
      </w:r>
      <w:r w:rsidR="006E0DFF" w:rsidRPr="009B3CDA">
        <w:rPr>
          <w:b/>
          <w:spacing w:val="-1"/>
          <w:sz w:val="28"/>
          <w:szCs w:val="28"/>
        </w:rPr>
        <w:t>may be impeached by evidence that has a tendency in reason to discredit the truthfulness or accuracy of the witness’s testimony.</w:t>
      </w:r>
    </w:p>
    <w:p w14:paraId="56E0550D" w14:textId="77777777" w:rsidR="00F41097" w:rsidRPr="009B3CDA" w:rsidRDefault="00F41097" w:rsidP="00F41097">
      <w:pPr>
        <w:kinsoku w:val="0"/>
        <w:overflowPunct w:val="0"/>
        <w:autoSpaceDE/>
        <w:autoSpaceDN/>
        <w:adjustRightInd/>
        <w:ind w:right="720"/>
        <w:jc w:val="both"/>
        <w:textAlignment w:val="baseline"/>
        <w:rPr>
          <w:b/>
          <w:spacing w:val="-1"/>
          <w:sz w:val="28"/>
          <w:szCs w:val="28"/>
        </w:rPr>
      </w:pPr>
    </w:p>
    <w:p w14:paraId="64693E0D" w14:textId="350626D3" w:rsidR="006E0DFF" w:rsidRPr="009B3CDA" w:rsidRDefault="00F41097" w:rsidP="00F41097">
      <w:pPr>
        <w:kinsoku w:val="0"/>
        <w:overflowPunct w:val="0"/>
        <w:autoSpaceDE/>
        <w:autoSpaceDN/>
        <w:adjustRightInd/>
        <w:ind w:left="720"/>
        <w:jc w:val="both"/>
        <w:textAlignment w:val="baseline"/>
        <w:rPr>
          <w:b/>
          <w:sz w:val="28"/>
          <w:szCs w:val="28"/>
        </w:rPr>
      </w:pPr>
      <w:r w:rsidRPr="009B3CDA">
        <w:rPr>
          <w:b/>
          <w:sz w:val="28"/>
          <w:szCs w:val="28"/>
        </w:rPr>
        <w:t xml:space="preserve">(2) </w:t>
      </w:r>
      <w:r w:rsidR="006E0DFF" w:rsidRPr="009B3CDA">
        <w:rPr>
          <w:b/>
          <w:sz w:val="28"/>
          <w:szCs w:val="28"/>
        </w:rPr>
        <w:t>The foundational requirements include:</w:t>
      </w:r>
    </w:p>
    <w:p w14:paraId="614F6340" w14:textId="77777777" w:rsidR="00F41097" w:rsidRPr="009B3CDA" w:rsidRDefault="00F41097" w:rsidP="00F41097">
      <w:pPr>
        <w:kinsoku w:val="0"/>
        <w:overflowPunct w:val="0"/>
        <w:autoSpaceDE/>
        <w:autoSpaceDN/>
        <w:adjustRightInd/>
        <w:jc w:val="both"/>
        <w:textAlignment w:val="baseline"/>
        <w:rPr>
          <w:b/>
          <w:sz w:val="28"/>
          <w:szCs w:val="28"/>
        </w:rPr>
      </w:pPr>
    </w:p>
    <w:p w14:paraId="347E6F09" w14:textId="714332F1" w:rsidR="006E0DFF" w:rsidRPr="009B3CDA" w:rsidRDefault="00E87B70" w:rsidP="00F41097">
      <w:pPr>
        <w:numPr>
          <w:ilvl w:val="0"/>
          <w:numId w:val="2"/>
        </w:numPr>
        <w:kinsoku w:val="0"/>
        <w:overflowPunct w:val="0"/>
        <w:autoSpaceDE/>
        <w:autoSpaceDN/>
        <w:adjustRightInd/>
        <w:ind w:right="720"/>
        <w:jc w:val="both"/>
        <w:textAlignment w:val="baseline"/>
        <w:rPr>
          <w:b/>
          <w:spacing w:val="-1"/>
          <w:sz w:val="28"/>
          <w:szCs w:val="28"/>
        </w:rPr>
      </w:pPr>
      <w:r w:rsidRPr="009B3CDA">
        <w:rPr>
          <w:b/>
          <w:spacing w:val="-1"/>
          <w:sz w:val="28"/>
          <w:szCs w:val="28"/>
        </w:rPr>
        <w:t>t</w:t>
      </w:r>
      <w:r w:rsidR="006E0DFF" w:rsidRPr="009B3CDA">
        <w:rPr>
          <w:b/>
          <w:spacing w:val="-1"/>
          <w:sz w:val="28"/>
          <w:szCs w:val="28"/>
        </w:rPr>
        <w:t xml:space="preserve">he showing of a good faith basis for the impeachment inquiry. A good faith basis for an impeachment inquiry requires that </w:t>
      </w:r>
      <w:r w:rsidR="00B96CAD" w:rsidRPr="009B3CDA">
        <w:rPr>
          <w:b/>
          <w:spacing w:val="-1"/>
          <w:sz w:val="28"/>
          <w:szCs w:val="28"/>
        </w:rPr>
        <w:t xml:space="preserve">the inquiring party </w:t>
      </w:r>
      <w:r w:rsidR="006E0DFF" w:rsidRPr="009B3CDA">
        <w:rPr>
          <w:b/>
          <w:spacing w:val="-1"/>
          <w:sz w:val="28"/>
          <w:szCs w:val="28"/>
        </w:rPr>
        <w:t xml:space="preserve">have </w:t>
      </w:r>
      <w:r w:rsidR="00913A74" w:rsidRPr="009B3CDA">
        <w:rPr>
          <w:b/>
          <w:spacing w:val="-1"/>
          <w:sz w:val="28"/>
          <w:szCs w:val="28"/>
        </w:rPr>
        <w:t xml:space="preserve">a </w:t>
      </w:r>
      <w:r w:rsidR="006E0DFF" w:rsidRPr="009B3CDA">
        <w:rPr>
          <w:b/>
          <w:spacing w:val="-1"/>
          <w:sz w:val="28"/>
          <w:szCs w:val="28"/>
        </w:rPr>
        <w:t>reasonable basis for believing the truth of things about which counsel seeks to ask.</w:t>
      </w:r>
    </w:p>
    <w:p w14:paraId="3A06467B" w14:textId="77777777" w:rsidR="00F41097" w:rsidRPr="009B3CDA" w:rsidRDefault="00F41097" w:rsidP="00F41097">
      <w:pPr>
        <w:kinsoku w:val="0"/>
        <w:overflowPunct w:val="0"/>
        <w:autoSpaceDE/>
        <w:autoSpaceDN/>
        <w:adjustRightInd/>
        <w:ind w:right="720"/>
        <w:jc w:val="both"/>
        <w:textAlignment w:val="baseline"/>
        <w:rPr>
          <w:b/>
          <w:spacing w:val="-1"/>
          <w:sz w:val="28"/>
          <w:szCs w:val="28"/>
        </w:rPr>
      </w:pPr>
    </w:p>
    <w:p w14:paraId="71767ED6" w14:textId="34E9EAB4" w:rsidR="006E0DFF" w:rsidRPr="009B3CDA" w:rsidRDefault="006E0DFF" w:rsidP="00F41097">
      <w:pPr>
        <w:numPr>
          <w:ilvl w:val="0"/>
          <w:numId w:val="2"/>
        </w:numPr>
        <w:kinsoku w:val="0"/>
        <w:overflowPunct w:val="0"/>
        <w:autoSpaceDE/>
        <w:autoSpaceDN/>
        <w:adjustRightInd/>
        <w:ind w:right="720"/>
        <w:jc w:val="both"/>
        <w:textAlignment w:val="baseline"/>
        <w:rPr>
          <w:b/>
          <w:sz w:val="28"/>
          <w:szCs w:val="28"/>
        </w:rPr>
      </w:pPr>
      <w:r w:rsidRPr="009B3CDA">
        <w:rPr>
          <w:b/>
          <w:sz w:val="28"/>
          <w:szCs w:val="28"/>
        </w:rPr>
        <w:t>identification of specific allegations</w:t>
      </w:r>
      <w:r w:rsidR="00D13A1D" w:rsidRPr="009B3CDA">
        <w:rPr>
          <w:b/>
          <w:sz w:val="28"/>
          <w:szCs w:val="28"/>
        </w:rPr>
        <w:t xml:space="preserve">, </w:t>
      </w:r>
      <w:r w:rsidR="00C07FD5" w:rsidRPr="009B3CDA">
        <w:rPr>
          <w:b/>
          <w:sz w:val="28"/>
          <w:szCs w:val="28"/>
        </w:rPr>
        <w:t xml:space="preserve">credibility determinations, or acts of misconduct </w:t>
      </w:r>
      <w:r w:rsidRPr="009B3CDA">
        <w:rPr>
          <w:b/>
          <w:sz w:val="28"/>
          <w:szCs w:val="28"/>
        </w:rPr>
        <w:t>that are relevant to the credibility of the witness in the current proceeding.</w:t>
      </w:r>
    </w:p>
    <w:p w14:paraId="0CDDDD67" w14:textId="77777777" w:rsidR="00F41097" w:rsidRPr="009B3CDA" w:rsidRDefault="00F41097" w:rsidP="00F41097">
      <w:pPr>
        <w:kinsoku w:val="0"/>
        <w:overflowPunct w:val="0"/>
        <w:autoSpaceDE/>
        <w:autoSpaceDN/>
        <w:adjustRightInd/>
        <w:ind w:right="720"/>
        <w:jc w:val="both"/>
        <w:textAlignment w:val="baseline"/>
        <w:rPr>
          <w:b/>
          <w:sz w:val="28"/>
          <w:szCs w:val="28"/>
        </w:rPr>
      </w:pPr>
    </w:p>
    <w:p w14:paraId="69ECDE63" w14:textId="2329657F" w:rsidR="006E0DFF" w:rsidRPr="009B3CDA" w:rsidRDefault="006E0DFF" w:rsidP="00F41097">
      <w:pPr>
        <w:numPr>
          <w:ilvl w:val="0"/>
          <w:numId w:val="2"/>
        </w:numPr>
        <w:kinsoku w:val="0"/>
        <w:overflowPunct w:val="0"/>
        <w:autoSpaceDE/>
        <w:autoSpaceDN/>
        <w:adjustRightInd/>
        <w:ind w:right="720"/>
        <w:jc w:val="both"/>
        <w:textAlignment w:val="baseline"/>
        <w:rPr>
          <w:b/>
          <w:spacing w:val="-2"/>
          <w:sz w:val="28"/>
          <w:szCs w:val="28"/>
        </w:rPr>
      </w:pPr>
      <w:r w:rsidRPr="009B3CDA">
        <w:rPr>
          <w:b/>
          <w:spacing w:val="-2"/>
          <w:sz w:val="28"/>
          <w:szCs w:val="28"/>
        </w:rPr>
        <w:t>the trial court’s assessment as to whether the proffered impeachment inquiry would confuse or mislead the jury or create a substantial risk of undue prejudice to the parties. Upon a finding that it would, the court may in the exercise of its discretion preclude or limit the scope of the inquiry.</w:t>
      </w:r>
    </w:p>
    <w:p w14:paraId="06277B01" w14:textId="77777777" w:rsidR="00C822F7" w:rsidRPr="009B3CDA" w:rsidRDefault="00C822F7" w:rsidP="00C822F7">
      <w:pPr>
        <w:kinsoku w:val="0"/>
        <w:overflowPunct w:val="0"/>
        <w:autoSpaceDE/>
        <w:autoSpaceDN/>
        <w:adjustRightInd/>
        <w:ind w:right="720"/>
        <w:jc w:val="both"/>
        <w:textAlignment w:val="baseline"/>
        <w:rPr>
          <w:b/>
          <w:spacing w:val="-2"/>
          <w:sz w:val="28"/>
          <w:szCs w:val="28"/>
        </w:rPr>
      </w:pPr>
    </w:p>
    <w:p w14:paraId="3F1C658A" w14:textId="14EB2827" w:rsidR="006E0DFF" w:rsidRPr="009B3CDA" w:rsidRDefault="006E0DFF" w:rsidP="00F41097">
      <w:pPr>
        <w:kinsoku w:val="0"/>
        <w:overflowPunct w:val="0"/>
        <w:autoSpaceDE/>
        <w:autoSpaceDN/>
        <w:adjustRightInd/>
        <w:ind w:left="720" w:right="720"/>
        <w:jc w:val="both"/>
        <w:textAlignment w:val="baseline"/>
        <w:rPr>
          <w:b/>
          <w:sz w:val="28"/>
          <w:szCs w:val="28"/>
        </w:rPr>
      </w:pPr>
      <w:r w:rsidRPr="009B3CDA">
        <w:rPr>
          <w:b/>
          <w:sz w:val="28"/>
          <w:szCs w:val="28"/>
        </w:rPr>
        <w:t>(3) Sources of a good faith basis for impeachment of a law enforcement officer include:</w:t>
      </w:r>
    </w:p>
    <w:p w14:paraId="1C70299A" w14:textId="77777777" w:rsidR="00C822F7" w:rsidRPr="009B3CDA" w:rsidRDefault="00C822F7" w:rsidP="00C822F7">
      <w:pPr>
        <w:kinsoku w:val="0"/>
        <w:overflowPunct w:val="0"/>
        <w:autoSpaceDE/>
        <w:autoSpaceDN/>
        <w:adjustRightInd/>
        <w:ind w:right="720"/>
        <w:jc w:val="both"/>
        <w:textAlignment w:val="baseline"/>
        <w:rPr>
          <w:b/>
          <w:sz w:val="28"/>
          <w:szCs w:val="28"/>
        </w:rPr>
      </w:pPr>
    </w:p>
    <w:p w14:paraId="3F70365A" w14:textId="7D668E63" w:rsidR="006E0DFF" w:rsidRPr="009B3CDA" w:rsidRDefault="00C822F7" w:rsidP="00C822F7">
      <w:pPr>
        <w:kinsoku w:val="0"/>
        <w:overflowPunct w:val="0"/>
        <w:autoSpaceDE/>
        <w:autoSpaceDN/>
        <w:adjustRightInd/>
        <w:ind w:left="1440"/>
        <w:textAlignment w:val="baseline"/>
        <w:rPr>
          <w:b/>
          <w:sz w:val="28"/>
          <w:szCs w:val="28"/>
        </w:rPr>
      </w:pPr>
      <w:r w:rsidRPr="009B3CDA">
        <w:rPr>
          <w:b/>
          <w:sz w:val="28"/>
          <w:szCs w:val="28"/>
        </w:rPr>
        <w:t xml:space="preserve">(a) </w:t>
      </w:r>
      <w:r w:rsidR="006E0DFF" w:rsidRPr="009B3CDA">
        <w:rPr>
          <w:b/>
          <w:sz w:val="28"/>
          <w:szCs w:val="28"/>
        </w:rPr>
        <w:t>Civil lawsuit.</w:t>
      </w:r>
    </w:p>
    <w:p w14:paraId="5060CE16" w14:textId="77777777" w:rsidR="00C822F7" w:rsidRPr="009B3CDA" w:rsidRDefault="00C822F7" w:rsidP="00C822F7">
      <w:pPr>
        <w:kinsoku w:val="0"/>
        <w:overflowPunct w:val="0"/>
        <w:autoSpaceDE/>
        <w:autoSpaceDN/>
        <w:adjustRightInd/>
        <w:textAlignment w:val="baseline"/>
        <w:rPr>
          <w:b/>
          <w:sz w:val="28"/>
          <w:szCs w:val="28"/>
        </w:rPr>
      </w:pPr>
    </w:p>
    <w:p w14:paraId="0A140937" w14:textId="52D77FE7" w:rsidR="00FC4C6B" w:rsidRPr="009B3CDA" w:rsidRDefault="00C822F7" w:rsidP="00C822F7">
      <w:pPr>
        <w:kinsoku w:val="0"/>
        <w:overflowPunct w:val="0"/>
        <w:autoSpaceDE/>
        <w:autoSpaceDN/>
        <w:adjustRightInd/>
        <w:ind w:left="2160" w:right="720"/>
        <w:jc w:val="both"/>
        <w:textAlignment w:val="baseline"/>
        <w:rPr>
          <w:b/>
          <w:spacing w:val="-2"/>
          <w:sz w:val="28"/>
          <w:szCs w:val="28"/>
        </w:rPr>
      </w:pPr>
      <w:r w:rsidRPr="009B3CDA">
        <w:rPr>
          <w:b/>
          <w:spacing w:val="-2"/>
          <w:sz w:val="28"/>
          <w:szCs w:val="28"/>
        </w:rPr>
        <w:t xml:space="preserve">(i) </w:t>
      </w:r>
      <w:r w:rsidR="006E0DFF" w:rsidRPr="009B3CDA">
        <w:rPr>
          <w:b/>
          <w:spacing w:val="-2"/>
          <w:sz w:val="28"/>
          <w:szCs w:val="28"/>
        </w:rPr>
        <w:t xml:space="preserve">Specific acts of misconduct lodged in a lawsuit against a testifying member of law enforcement constitutes a good faith basis for an impeachment inquiry of the </w:t>
      </w:r>
      <w:r w:rsidR="006E0DFF" w:rsidRPr="009B3CDA">
        <w:rPr>
          <w:b/>
          <w:spacing w:val="-2"/>
          <w:sz w:val="28"/>
          <w:szCs w:val="28"/>
        </w:rPr>
        <w:lastRenderedPageBreak/>
        <w:t>allegations asserted in that lawsuit that are relevant to the witness</w:t>
      </w:r>
      <w:r w:rsidR="009B3CDA">
        <w:rPr>
          <w:b/>
          <w:spacing w:val="-2"/>
          <w:sz w:val="28"/>
          <w:szCs w:val="28"/>
        </w:rPr>
        <w:t>’</w:t>
      </w:r>
      <w:r w:rsidR="006E0DFF" w:rsidRPr="009B3CDA">
        <w:rPr>
          <w:b/>
          <w:spacing w:val="-2"/>
          <w:sz w:val="28"/>
          <w:szCs w:val="28"/>
        </w:rPr>
        <w:t>s credibility in the action in which the witness is testifying.</w:t>
      </w:r>
    </w:p>
    <w:p w14:paraId="3A293AC3" w14:textId="77777777" w:rsidR="002E65F9" w:rsidRPr="009B3CDA" w:rsidRDefault="002E65F9" w:rsidP="00C822F7">
      <w:pPr>
        <w:kinsoku w:val="0"/>
        <w:overflowPunct w:val="0"/>
        <w:autoSpaceDE/>
        <w:autoSpaceDN/>
        <w:adjustRightInd/>
        <w:ind w:right="288"/>
        <w:jc w:val="both"/>
        <w:textAlignment w:val="baseline"/>
        <w:rPr>
          <w:b/>
          <w:spacing w:val="-2"/>
          <w:sz w:val="28"/>
          <w:szCs w:val="28"/>
        </w:rPr>
      </w:pPr>
    </w:p>
    <w:p w14:paraId="1D818F12" w14:textId="21510FAA" w:rsidR="006E0DFF" w:rsidRPr="009B3CDA" w:rsidRDefault="00C822F7" w:rsidP="00C822F7">
      <w:pPr>
        <w:kinsoku w:val="0"/>
        <w:overflowPunct w:val="0"/>
        <w:autoSpaceDE/>
        <w:autoSpaceDN/>
        <w:adjustRightInd/>
        <w:ind w:left="2160" w:right="720"/>
        <w:jc w:val="both"/>
        <w:textAlignment w:val="baseline"/>
        <w:rPr>
          <w:b/>
          <w:sz w:val="28"/>
          <w:szCs w:val="28"/>
        </w:rPr>
      </w:pPr>
      <w:r w:rsidRPr="009B3CDA">
        <w:rPr>
          <w:b/>
          <w:spacing w:val="4"/>
          <w:sz w:val="28"/>
          <w:szCs w:val="28"/>
        </w:rPr>
        <w:t xml:space="preserve">(ii) </w:t>
      </w:r>
      <w:r w:rsidR="006E0DFF" w:rsidRPr="009B3CDA">
        <w:rPr>
          <w:b/>
          <w:spacing w:val="4"/>
          <w:sz w:val="28"/>
          <w:szCs w:val="28"/>
        </w:rPr>
        <w:t>If the lawsuit did not result in an adverse finding against a witness, on cross-</w:t>
      </w:r>
      <w:r w:rsidR="006E0DFF" w:rsidRPr="009B3CDA">
        <w:rPr>
          <w:b/>
          <w:sz w:val="28"/>
          <w:szCs w:val="28"/>
        </w:rPr>
        <w:t>examination, it is not permitted to ask the witness if he or she has been sued, or if the case was settled (unless there was an admission of wrongdoing), or if the criminal charges related to the plaintiffs in those actions were dismissed. However, pursuant to paragraph (a) of this subdivision, questions based on the specific allegations of the lawsuit may be asked.</w:t>
      </w:r>
    </w:p>
    <w:p w14:paraId="3DD2ABEC" w14:textId="77777777" w:rsidR="00C822F7" w:rsidRPr="009B3CDA" w:rsidRDefault="00C822F7" w:rsidP="00C822F7">
      <w:pPr>
        <w:kinsoku w:val="0"/>
        <w:overflowPunct w:val="0"/>
        <w:autoSpaceDE/>
        <w:autoSpaceDN/>
        <w:adjustRightInd/>
        <w:ind w:right="720"/>
        <w:jc w:val="both"/>
        <w:textAlignment w:val="baseline"/>
        <w:rPr>
          <w:b/>
          <w:sz w:val="28"/>
          <w:szCs w:val="28"/>
        </w:rPr>
      </w:pPr>
    </w:p>
    <w:p w14:paraId="0E5A69CD" w14:textId="5545DAD9" w:rsidR="006E0DFF" w:rsidRPr="009B3CDA" w:rsidRDefault="00C822F7" w:rsidP="00C822F7">
      <w:pPr>
        <w:kinsoku w:val="0"/>
        <w:overflowPunct w:val="0"/>
        <w:autoSpaceDE/>
        <w:autoSpaceDN/>
        <w:adjustRightInd/>
        <w:ind w:left="1440" w:right="720"/>
        <w:jc w:val="both"/>
        <w:textAlignment w:val="baseline"/>
        <w:rPr>
          <w:b/>
          <w:spacing w:val="-2"/>
          <w:sz w:val="28"/>
          <w:szCs w:val="28"/>
        </w:rPr>
      </w:pPr>
      <w:r w:rsidRPr="009B3CDA">
        <w:rPr>
          <w:b/>
          <w:spacing w:val="-2"/>
          <w:sz w:val="28"/>
          <w:szCs w:val="28"/>
        </w:rPr>
        <w:t xml:space="preserve">(b) </w:t>
      </w:r>
      <w:r w:rsidR="006E0DFF" w:rsidRPr="009B3CDA">
        <w:rPr>
          <w:b/>
          <w:spacing w:val="-2"/>
          <w:sz w:val="28"/>
          <w:szCs w:val="28"/>
        </w:rPr>
        <w:t>A judicial determination that a law enforcement witness testified falsely in a proceeding, while not binding on the question of the witness’s credibility in the proceeding in which the witness is testifying, constitutes a good faith basis for an impeachment inquiry of that witness with respect to that determination.</w:t>
      </w:r>
    </w:p>
    <w:p w14:paraId="73E990E5" w14:textId="77777777" w:rsidR="00C822F7" w:rsidRPr="009B3CDA" w:rsidRDefault="00C822F7" w:rsidP="00C822F7">
      <w:pPr>
        <w:kinsoku w:val="0"/>
        <w:overflowPunct w:val="0"/>
        <w:autoSpaceDE/>
        <w:autoSpaceDN/>
        <w:adjustRightInd/>
        <w:ind w:right="720"/>
        <w:jc w:val="both"/>
        <w:textAlignment w:val="baseline"/>
        <w:rPr>
          <w:b/>
          <w:spacing w:val="-2"/>
          <w:sz w:val="28"/>
          <w:szCs w:val="28"/>
        </w:rPr>
      </w:pPr>
    </w:p>
    <w:p w14:paraId="3D99A328" w14:textId="712ADD4C" w:rsidR="006E0DFF" w:rsidRPr="009B3CDA" w:rsidRDefault="00C822F7" w:rsidP="00C822F7">
      <w:pPr>
        <w:pStyle w:val="ListParagraph"/>
        <w:kinsoku w:val="0"/>
        <w:overflowPunct w:val="0"/>
        <w:autoSpaceDE/>
        <w:autoSpaceDN/>
        <w:adjustRightInd/>
        <w:ind w:left="1440" w:right="720"/>
        <w:jc w:val="both"/>
        <w:textAlignment w:val="baseline"/>
        <w:rPr>
          <w:b/>
          <w:sz w:val="28"/>
          <w:szCs w:val="28"/>
        </w:rPr>
      </w:pPr>
      <w:r w:rsidRPr="009B3CDA">
        <w:rPr>
          <w:b/>
          <w:sz w:val="28"/>
          <w:szCs w:val="28"/>
        </w:rPr>
        <w:t xml:space="preserve">(c) </w:t>
      </w:r>
      <w:r w:rsidR="006E0DFF" w:rsidRPr="009B3CDA">
        <w:rPr>
          <w:b/>
          <w:sz w:val="28"/>
          <w:szCs w:val="28"/>
        </w:rPr>
        <w:t>Other misconduct of the witness, whether prove</w:t>
      </w:r>
      <w:r w:rsidR="0073166F" w:rsidRPr="009B3CDA">
        <w:rPr>
          <w:b/>
          <w:sz w:val="28"/>
          <w:szCs w:val="28"/>
        </w:rPr>
        <w:t>d</w:t>
      </w:r>
      <w:r w:rsidR="006E0DFF" w:rsidRPr="009B3CDA">
        <w:rPr>
          <w:b/>
          <w:sz w:val="28"/>
          <w:szCs w:val="28"/>
        </w:rPr>
        <w:t xml:space="preserve"> in a court proceeding or not, including, for example, acts of dishonesty and misstatements about an event or the officer’s conduct made to a prosecutor, constitutes a good faith basis for an impeachment inquiry of the witness.</w:t>
      </w:r>
    </w:p>
    <w:p w14:paraId="2518C5AF" w14:textId="77777777" w:rsidR="00C822F7" w:rsidRPr="009B3CDA" w:rsidRDefault="00C822F7" w:rsidP="00C822F7">
      <w:pPr>
        <w:kinsoku w:val="0"/>
        <w:overflowPunct w:val="0"/>
        <w:autoSpaceDE/>
        <w:autoSpaceDN/>
        <w:adjustRightInd/>
        <w:ind w:right="720"/>
        <w:jc w:val="both"/>
        <w:textAlignment w:val="baseline"/>
        <w:rPr>
          <w:b/>
          <w:sz w:val="28"/>
          <w:szCs w:val="28"/>
        </w:rPr>
      </w:pPr>
    </w:p>
    <w:p w14:paraId="4A150C86" w14:textId="04789DB4" w:rsidR="006E0DFF" w:rsidRDefault="00C822F7" w:rsidP="00C822F7">
      <w:pPr>
        <w:pStyle w:val="ListParagraph"/>
        <w:kinsoku w:val="0"/>
        <w:overflowPunct w:val="0"/>
        <w:autoSpaceDE/>
        <w:autoSpaceDN/>
        <w:adjustRightInd/>
        <w:ind w:right="720"/>
        <w:jc w:val="both"/>
        <w:textAlignment w:val="baseline"/>
        <w:rPr>
          <w:b/>
          <w:sz w:val="28"/>
          <w:szCs w:val="28"/>
        </w:rPr>
      </w:pPr>
      <w:r w:rsidRPr="009B3CDA">
        <w:rPr>
          <w:b/>
          <w:sz w:val="28"/>
          <w:szCs w:val="28"/>
        </w:rPr>
        <w:t xml:space="preserve">(4) </w:t>
      </w:r>
      <w:r w:rsidR="006E0DFF" w:rsidRPr="009B3CDA">
        <w:rPr>
          <w:b/>
          <w:sz w:val="28"/>
          <w:szCs w:val="28"/>
        </w:rPr>
        <w:t>Evidence that charges on trial had already been determined adversely to the defendant by another tribunal is inadmissible for impeachment of the defendant or otherwise.</w:t>
      </w:r>
    </w:p>
    <w:p w14:paraId="2246C1DB" w14:textId="0F87C2A2" w:rsidR="00D71FBB" w:rsidRDefault="00D71FBB" w:rsidP="00C822F7">
      <w:pPr>
        <w:pStyle w:val="ListParagraph"/>
        <w:kinsoku w:val="0"/>
        <w:overflowPunct w:val="0"/>
        <w:autoSpaceDE/>
        <w:autoSpaceDN/>
        <w:adjustRightInd/>
        <w:ind w:right="720"/>
        <w:jc w:val="both"/>
        <w:textAlignment w:val="baseline"/>
        <w:rPr>
          <w:b/>
          <w:sz w:val="28"/>
          <w:szCs w:val="28"/>
        </w:rPr>
      </w:pPr>
    </w:p>
    <w:p w14:paraId="66426CAF" w14:textId="77777777" w:rsidR="00D71FBB" w:rsidRPr="009B3CDA" w:rsidRDefault="00D71FBB" w:rsidP="00C822F7">
      <w:pPr>
        <w:pStyle w:val="ListParagraph"/>
        <w:kinsoku w:val="0"/>
        <w:overflowPunct w:val="0"/>
        <w:autoSpaceDE/>
        <w:autoSpaceDN/>
        <w:adjustRightInd/>
        <w:ind w:right="720"/>
        <w:jc w:val="both"/>
        <w:textAlignment w:val="baseline"/>
        <w:rPr>
          <w:b/>
          <w:sz w:val="28"/>
          <w:szCs w:val="28"/>
        </w:rPr>
      </w:pPr>
    </w:p>
    <w:p w14:paraId="055FA08F" w14:textId="77777777" w:rsidR="00F41097" w:rsidRPr="009B3CDA" w:rsidRDefault="00F41097" w:rsidP="00F41097">
      <w:pPr>
        <w:kinsoku w:val="0"/>
        <w:overflowPunct w:val="0"/>
        <w:autoSpaceDE/>
        <w:autoSpaceDN/>
        <w:adjustRightInd/>
        <w:ind w:right="720"/>
        <w:jc w:val="both"/>
        <w:textAlignment w:val="baseline"/>
        <w:rPr>
          <w:b/>
          <w:sz w:val="28"/>
          <w:szCs w:val="28"/>
        </w:rPr>
      </w:pPr>
    </w:p>
    <w:p w14:paraId="248E461A" w14:textId="51AD0313" w:rsidR="006E0DFF" w:rsidRPr="009B3CDA" w:rsidRDefault="006E0DFF" w:rsidP="00F41097">
      <w:pPr>
        <w:kinsoku w:val="0"/>
        <w:overflowPunct w:val="0"/>
        <w:autoSpaceDE/>
        <w:autoSpaceDN/>
        <w:adjustRightInd/>
        <w:jc w:val="center"/>
        <w:textAlignment w:val="baseline"/>
        <w:rPr>
          <w:b/>
          <w:spacing w:val="26"/>
          <w:sz w:val="28"/>
          <w:szCs w:val="28"/>
        </w:rPr>
      </w:pPr>
      <w:r w:rsidRPr="009B3CDA">
        <w:rPr>
          <w:b/>
          <w:spacing w:val="26"/>
          <w:sz w:val="28"/>
          <w:szCs w:val="28"/>
        </w:rPr>
        <w:lastRenderedPageBreak/>
        <w:t>Note</w:t>
      </w:r>
    </w:p>
    <w:p w14:paraId="755BDD4B" w14:textId="77777777" w:rsidR="00F41097" w:rsidRPr="009B3CDA" w:rsidRDefault="00F41097" w:rsidP="00F41097">
      <w:pPr>
        <w:kinsoku w:val="0"/>
        <w:overflowPunct w:val="0"/>
        <w:autoSpaceDE/>
        <w:autoSpaceDN/>
        <w:adjustRightInd/>
        <w:jc w:val="center"/>
        <w:textAlignment w:val="baseline"/>
        <w:rPr>
          <w:b/>
          <w:spacing w:val="26"/>
          <w:sz w:val="24"/>
        </w:rPr>
      </w:pPr>
    </w:p>
    <w:p w14:paraId="0124099F" w14:textId="4DB8E277" w:rsidR="006E0DFF" w:rsidRPr="009B3CDA" w:rsidRDefault="00C822F7" w:rsidP="00C822F7">
      <w:pPr>
        <w:tabs>
          <w:tab w:val="left" w:pos="720"/>
        </w:tabs>
        <w:kinsoku w:val="0"/>
        <w:overflowPunct w:val="0"/>
        <w:autoSpaceDE/>
        <w:autoSpaceDN/>
        <w:adjustRightInd/>
        <w:jc w:val="both"/>
        <w:textAlignment w:val="baseline"/>
        <w:rPr>
          <w:sz w:val="24"/>
        </w:rPr>
      </w:pPr>
      <w:r w:rsidRPr="009B3CDA">
        <w:rPr>
          <w:sz w:val="24"/>
        </w:rPr>
        <w:tab/>
      </w:r>
      <w:r w:rsidR="006E0DFF" w:rsidRPr="009B3CDA">
        <w:rPr>
          <w:sz w:val="24"/>
        </w:rPr>
        <w:t xml:space="preserve">This rule is derived from the holdings of </w:t>
      </w:r>
      <w:r w:rsidR="006E0DFF" w:rsidRPr="009B3CDA">
        <w:rPr>
          <w:i/>
          <w:sz w:val="24"/>
        </w:rPr>
        <w:t xml:space="preserve">People v Smith </w:t>
      </w:r>
      <w:r w:rsidR="006E0DFF" w:rsidRPr="009B3CDA">
        <w:rPr>
          <w:sz w:val="24"/>
        </w:rPr>
        <w:t>(27 NY3d 652 [2016]</w:t>
      </w:r>
      <w:r w:rsidR="007D41BD" w:rsidRPr="009B3CDA">
        <w:rPr>
          <w:sz w:val="24"/>
        </w:rPr>
        <w:t>)</w:t>
      </w:r>
      <w:r w:rsidR="006E0DFF" w:rsidRPr="009B3CDA">
        <w:rPr>
          <w:sz w:val="24"/>
        </w:rPr>
        <w:t xml:space="preserve"> and </w:t>
      </w:r>
      <w:r w:rsidR="006E0DFF" w:rsidRPr="0033521F">
        <w:rPr>
          <w:i/>
          <w:iCs/>
          <w:sz w:val="24"/>
        </w:rPr>
        <w:t>P</w:t>
      </w:r>
      <w:r w:rsidR="006E0DFF" w:rsidRPr="009B3CDA">
        <w:rPr>
          <w:i/>
          <w:sz w:val="24"/>
        </w:rPr>
        <w:t xml:space="preserve">eople v Rouse </w:t>
      </w:r>
      <w:r w:rsidR="00E87B70" w:rsidRPr="009B3CDA">
        <w:rPr>
          <w:sz w:val="24"/>
        </w:rPr>
        <w:t>(</w:t>
      </w:r>
      <w:r w:rsidR="006E0DFF" w:rsidRPr="009B3CDA">
        <w:rPr>
          <w:sz w:val="24"/>
        </w:rPr>
        <w:t>34 NY3d 269 [2019]).</w:t>
      </w:r>
    </w:p>
    <w:p w14:paraId="67632E97" w14:textId="77777777" w:rsidR="00F41097" w:rsidRPr="009B3CDA" w:rsidRDefault="00F41097" w:rsidP="00C822F7">
      <w:pPr>
        <w:tabs>
          <w:tab w:val="left" w:pos="720"/>
        </w:tabs>
        <w:kinsoku w:val="0"/>
        <w:overflowPunct w:val="0"/>
        <w:autoSpaceDE/>
        <w:autoSpaceDN/>
        <w:adjustRightInd/>
        <w:jc w:val="both"/>
        <w:textAlignment w:val="baseline"/>
        <w:rPr>
          <w:sz w:val="24"/>
        </w:rPr>
      </w:pPr>
    </w:p>
    <w:p w14:paraId="5E91D8C0" w14:textId="7ED59BDA" w:rsidR="006E0DFF" w:rsidRPr="009B3CDA" w:rsidRDefault="00C822F7" w:rsidP="00C822F7">
      <w:pPr>
        <w:tabs>
          <w:tab w:val="left" w:pos="720"/>
        </w:tabs>
        <w:kinsoku w:val="0"/>
        <w:overflowPunct w:val="0"/>
        <w:autoSpaceDE/>
        <w:autoSpaceDN/>
        <w:adjustRightInd/>
        <w:jc w:val="both"/>
        <w:textAlignment w:val="baseline"/>
        <w:rPr>
          <w:sz w:val="24"/>
        </w:rPr>
      </w:pPr>
      <w:r w:rsidRPr="009B3CDA">
        <w:rPr>
          <w:b/>
          <w:sz w:val="24"/>
        </w:rPr>
        <w:tab/>
      </w:r>
      <w:r w:rsidR="006E0DFF" w:rsidRPr="009B3CDA">
        <w:rPr>
          <w:b/>
          <w:sz w:val="24"/>
        </w:rPr>
        <w:t xml:space="preserve">Subdivision (1) </w:t>
      </w:r>
      <w:r w:rsidR="006E0DFF" w:rsidRPr="009B3CDA">
        <w:rPr>
          <w:sz w:val="24"/>
        </w:rPr>
        <w:t xml:space="preserve">is derived from </w:t>
      </w:r>
      <w:r w:rsidR="006E0DFF" w:rsidRPr="009B3CDA">
        <w:rPr>
          <w:i/>
          <w:sz w:val="24"/>
        </w:rPr>
        <w:t>Smith</w:t>
      </w:r>
      <w:r w:rsidR="006F5D0A" w:rsidRPr="009B3CDA">
        <w:rPr>
          <w:sz w:val="24"/>
        </w:rPr>
        <w:t>,</w:t>
      </w:r>
      <w:r w:rsidR="006E0DFF" w:rsidRPr="009B3CDA">
        <w:rPr>
          <w:i/>
          <w:sz w:val="24"/>
        </w:rPr>
        <w:t xml:space="preserve"> </w:t>
      </w:r>
      <w:r w:rsidR="006E0DFF" w:rsidRPr="009B3CDA">
        <w:rPr>
          <w:sz w:val="24"/>
        </w:rPr>
        <w:t>which held that “law enforcement witnesses should be treated in the same manner as any other witness for purposes of cross</w:t>
      </w:r>
      <w:r w:rsidR="005A48DC" w:rsidRPr="009B3CDA">
        <w:rPr>
          <w:sz w:val="24"/>
        </w:rPr>
        <w:t>-</w:t>
      </w:r>
      <w:r w:rsidR="006E0DFF" w:rsidRPr="009B3CDA">
        <w:rPr>
          <w:sz w:val="24"/>
        </w:rPr>
        <w:t>examination. The same standard for good faith basis and specific allegations relevant to credibility applies—as does the same broad latitude to preclude or limit cross-examination” (</w:t>
      </w:r>
      <w:r w:rsidR="006E0DFF" w:rsidRPr="009B3CDA">
        <w:rPr>
          <w:i/>
          <w:sz w:val="24"/>
        </w:rPr>
        <w:t xml:space="preserve">Smith </w:t>
      </w:r>
      <w:r w:rsidR="006E0DFF" w:rsidRPr="009B3CDA">
        <w:rPr>
          <w:sz w:val="24"/>
        </w:rPr>
        <w:t>at 661-</w:t>
      </w:r>
      <w:r w:rsidR="00E87B70" w:rsidRPr="009B3CDA">
        <w:rPr>
          <w:sz w:val="24"/>
        </w:rPr>
        <w:t>6</w:t>
      </w:r>
      <w:r w:rsidR="006E0DFF" w:rsidRPr="009B3CDA">
        <w:rPr>
          <w:sz w:val="24"/>
        </w:rPr>
        <w:t xml:space="preserve">62; </w:t>
      </w:r>
      <w:r w:rsidR="006E0DFF" w:rsidRPr="009B3CDA">
        <w:rPr>
          <w:i/>
          <w:sz w:val="24"/>
        </w:rPr>
        <w:t xml:space="preserve">Rouse </w:t>
      </w:r>
      <w:r w:rsidR="006E0DFF" w:rsidRPr="009B3CDA">
        <w:rPr>
          <w:sz w:val="24"/>
        </w:rPr>
        <w:t>at 273).</w:t>
      </w:r>
    </w:p>
    <w:p w14:paraId="75717203" w14:textId="77777777" w:rsidR="00F41097" w:rsidRPr="009B3CDA" w:rsidRDefault="00F41097" w:rsidP="00C822F7">
      <w:pPr>
        <w:kinsoku w:val="0"/>
        <w:overflowPunct w:val="0"/>
        <w:autoSpaceDE/>
        <w:autoSpaceDN/>
        <w:adjustRightInd/>
        <w:jc w:val="both"/>
        <w:textAlignment w:val="baseline"/>
        <w:rPr>
          <w:sz w:val="24"/>
        </w:rPr>
      </w:pPr>
    </w:p>
    <w:p w14:paraId="1C351C3D" w14:textId="022B2311" w:rsidR="006E0DFF" w:rsidRPr="009B3CDA" w:rsidRDefault="00C822F7" w:rsidP="00C822F7">
      <w:pPr>
        <w:tabs>
          <w:tab w:val="left" w:pos="720"/>
        </w:tabs>
        <w:kinsoku w:val="0"/>
        <w:overflowPunct w:val="0"/>
        <w:autoSpaceDE/>
        <w:autoSpaceDN/>
        <w:adjustRightInd/>
        <w:jc w:val="both"/>
        <w:textAlignment w:val="baseline"/>
        <w:rPr>
          <w:sz w:val="24"/>
        </w:rPr>
      </w:pPr>
      <w:r w:rsidRPr="009B3CDA">
        <w:rPr>
          <w:b/>
          <w:sz w:val="24"/>
        </w:rPr>
        <w:tab/>
      </w:r>
      <w:r w:rsidR="006E0DFF" w:rsidRPr="009B3CDA">
        <w:rPr>
          <w:b/>
          <w:sz w:val="24"/>
        </w:rPr>
        <w:t xml:space="preserve">Subdivision (2) </w:t>
      </w:r>
      <w:r w:rsidR="006E0DFF" w:rsidRPr="009B3CDA">
        <w:rPr>
          <w:sz w:val="24"/>
        </w:rPr>
        <w:t xml:space="preserve">is drawn from the “logical framework” </w:t>
      </w:r>
      <w:r w:rsidR="006E0DFF" w:rsidRPr="009B3CDA">
        <w:rPr>
          <w:i/>
          <w:sz w:val="24"/>
        </w:rPr>
        <w:t xml:space="preserve">Smith </w:t>
      </w:r>
      <w:r w:rsidR="006E0DFF" w:rsidRPr="009B3CDA">
        <w:rPr>
          <w:sz w:val="24"/>
        </w:rPr>
        <w:t xml:space="preserve">set forth for deciding whether </w:t>
      </w:r>
      <w:r w:rsidR="00B9420C" w:rsidRPr="009B3CDA">
        <w:rPr>
          <w:bCs/>
          <w:i/>
          <w:sz w:val="24"/>
        </w:rPr>
        <w:t>to</w:t>
      </w:r>
      <w:r w:rsidR="00B9420C" w:rsidRPr="009B3CDA">
        <w:rPr>
          <w:b/>
          <w:bCs/>
          <w:sz w:val="24"/>
        </w:rPr>
        <w:t xml:space="preserve"> </w:t>
      </w:r>
      <w:r w:rsidR="00B9420C" w:rsidRPr="009B3CDA">
        <w:rPr>
          <w:bCs/>
          <w:i/>
          <w:sz w:val="24"/>
        </w:rPr>
        <w:t>permit</w:t>
      </w:r>
      <w:r w:rsidR="00B9420C" w:rsidRPr="009B3CDA">
        <w:rPr>
          <w:b/>
          <w:bCs/>
          <w:sz w:val="24"/>
        </w:rPr>
        <w:t xml:space="preserve"> </w:t>
      </w:r>
      <w:r w:rsidR="006E0DFF" w:rsidRPr="009B3CDA">
        <w:rPr>
          <w:sz w:val="24"/>
        </w:rPr>
        <w:t>the impeachment inquiry</w:t>
      </w:r>
      <w:r w:rsidR="006D0186" w:rsidRPr="009B3CDA">
        <w:rPr>
          <w:sz w:val="24"/>
        </w:rPr>
        <w:t>:</w:t>
      </w:r>
    </w:p>
    <w:p w14:paraId="3C8910F9" w14:textId="77777777" w:rsidR="006E0DFF" w:rsidRPr="009B3CDA" w:rsidRDefault="006E0DFF" w:rsidP="00C822F7">
      <w:pPr>
        <w:tabs>
          <w:tab w:val="left" w:pos="720"/>
        </w:tabs>
        <w:kinsoku w:val="0"/>
        <w:overflowPunct w:val="0"/>
        <w:autoSpaceDE/>
        <w:autoSpaceDN/>
        <w:adjustRightInd/>
        <w:jc w:val="both"/>
        <w:textAlignment w:val="baseline"/>
        <w:rPr>
          <w:sz w:val="24"/>
        </w:rPr>
      </w:pPr>
    </w:p>
    <w:p w14:paraId="17AA5F65" w14:textId="1C2FC8B0" w:rsidR="006E0DFF" w:rsidRPr="009B3CDA" w:rsidRDefault="006E0DFF" w:rsidP="00C822F7">
      <w:pPr>
        <w:kinsoku w:val="0"/>
        <w:overflowPunct w:val="0"/>
        <w:autoSpaceDE/>
        <w:autoSpaceDN/>
        <w:adjustRightInd/>
        <w:ind w:left="720" w:right="720"/>
        <w:jc w:val="both"/>
        <w:textAlignment w:val="baseline"/>
        <w:rPr>
          <w:spacing w:val="-1"/>
          <w:sz w:val="24"/>
        </w:rPr>
      </w:pPr>
      <w:r w:rsidRPr="009B3CDA">
        <w:rPr>
          <w:sz w:val="24"/>
        </w:rPr>
        <w:t>“First, counsel must present a good faith basis for inquiring, namely, the lawsuit relied upon; second, specific allegations that are relevant to the credibility of the law enforcement witness must be identified; and third, the trial judge exercises discretion in assessing whether inquiry into such allegations would confuse or mislead the jury, or create a substantial risk of undue prejudice to the parties”</w:t>
      </w:r>
      <w:r w:rsidR="00387D88" w:rsidRPr="009B3CDA">
        <w:rPr>
          <w:sz w:val="24"/>
        </w:rPr>
        <w:t xml:space="preserve"> </w:t>
      </w:r>
      <w:r w:rsidRPr="009B3CDA">
        <w:rPr>
          <w:spacing w:val="-1"/>
          <w:sz w:val="24"/>
        </w:rPr>
        <w:t>(</w:t>
      </w:r>
      <w:r w:rsidRPr="009B3CDA">
        <w:rPr>
          <w:i/>
          <w:spacing w:val="-1"/>
          <w:sz w:val="24"/>
        </w:rPr>
        <w:t xml:space="preserve">Smith </w:t>
      </w:r>
      <w:r w:rsidRPr="009B3CDA">
        <w:rPr>
          <w:spacing w:val="-1"/>
          <w:sz w:val="24"/>
        </w:rPr>
        <w:t>at 662).</w:t>
      </w:r>
    </w:p>
    <w:p w14:paraId="7032DB7B" w14:textId="77777777" w:rsidR="00F41097" w:rsidRPr="009B3CDA" w:rsidRDefault="00F41097" w:rsidP="00C822F7">
      <w:pPr>
        <w:kinsoku w:val="0"/>
        <w:overflowPunct w:val="0"/>
        <w:autoSpaceDE/>
        <w:autoSpaceDN/>
        <w:adjustRightInd/>
        <w:jc w:val="both"/>
        <w:textAlignment w:val="baseline"/>
        <w:rPr>
          <w:spacing w:val="-1"/>
          <w:sz w:val="24"/>
        </w:rPr>
      </w:pPr>
    </w:p>
    <w:p w14:paraId="7E1A69F3" w14:textId="770F6D43" w:rsidR="006E0DFF" w:rsidRPr="009B3CDA" w:rsidRDefault="00C822F7" w:rsidP="00C822F7">
      <w:pPr>
        <w:tabs>
          <w:tab w:val="left" w:pos="720"/>
        </w:tabs>
        <w:kinsoku w:val="0"/>
        <w:overflowPunct w:val="0"/>
        <w:autoSpaceDE/>
        <w:autoSpaceDN/>
        <w:adjustRightInd/>
        <w:jc w:val="both"/>
        <w:textAlignment w:val="baseline"/>
        <w:rPr>
          <w:sz w:val="24"/>
        </w:rPr>
      </w:pPr>
      <w:r w:rsidRPr="009B3CDA">
        <w:rPr>
          <w:i/>
          <w:sz w:val="24"/>
        </w:rPr>
        <w:tab/>
      </w:r>
      <w:r w:rsidR="006E0DFF" w:rsidRPr="009B3CDA">
        <w:rPr>
          <w:i/>
          <w:sz w:val="24"/>
        </w:rPr>
        <w:t xml:space="preserve">Rouse </w:t>
      </w:r>
      <w:r w:rsidR="006E0DFF" w:rsidRPr="009B3CDA">
        <w:rPr>
          <w:sz w:val="24"/>
        </w:rPr>
        <w:t>declared that a good faith basis “requires only that counsel have some reasonable basis for believing the truth of things about which counsel seeks to ask” (</w:t>
      </w:r>
      <w:r w:rsidR="006E0DFF" w:rsidRPr="009B3CDA">
        <w:rPr>
          <w:i/>
          <w:sz w:val="24"/>
        </w:rPr>
        <w:t xml:space="preserve">Rouse </w:t>
      </w:r>
      <w:r w:rsidR="006E0DFF" w:rsidRPr="009B3CDA">
        <w:rPr>
          <w:sz w:val="24"/>
        </w:rPr>
        <w:t xml:space="preserve">at 277 </w:t>
      </w:r>
      <w:r w:rsidR="00E87B70" w:rsidRPr="009B3CDA">
        <w:rPr>
          <w:sz w:val="24"/>
        </w:rPr>
        <w:t>[</w:t>
      </w:r>
      <w:r w:rsidR="007771D8" w:rsidRPr="009B3CDA">
        <w:rPr>
          <w:sz w:val="24"/>
        </w:rPr>
        <w:t xml:space="preserve">internal </w:t>
      </w:r>
      <w:r w:rsidR="006E0DFF" w:rsidRPr="009B3CDA">
        <w:rPr>
          <w:sz w:val="24"/>
        </w:rPr>
        <w:t>quotation marks and citation omitted]).</w:t>
      </w:r>
    </w:p>
    <w:p w14:paraId="25D5FE75" w14:textId="77777777" w:rsidR="00F41097" w:rsidRPr="009B3CDA" w:rsidRDefault="00F41097" w:rsidP="009B3CDA">
      <w:pPr>
        <w:kinsoku w:val="0"/>
        <w:overflowPunct w:val="0"/>
        <w:autoSpaceDE/>
        <w:autoSpaceDN/>
        <w:adjustRightInd/>
        <w:jc w:val="both"/>
        <w:textAlignment w:val="baseline"/>
        <w:rPr>
          <w:sz w:val="24"/>
        </w:rPr>
      </w:pPr>
    </w:p>
    <w:p w14:paraId="0E743A73" w14:textId="3F7A6041" w:rsidR="00D446EB" w:rsidRPr="009B3CDA" w:rsidRDefault="009B3CDA" w:rsidP="009B3CDA">
      <w:pPr>
        <w:tabs>
          <w:tab w:val="left" w:pos="720"/>
        </w:tabs>
        <w:kinsoku w:val="0"/>
        <w:overflowPunct w:val="0"/>
        <w:autoSpaceDE/>
        <w:autoSpaceDN/>
        <w:adjustRightInd/>
        <w:jc w:val="both"/>
        <w:textAlignment w:val="baseline"/>
        <w:rPr>
          <w:spacing w:val="-1"/>
          <w:sz w:val="24"/>
        </w:rPr>
      </w:pPr>
      <w:r w:rsidRPr="009B3CDA">
        <w:rPr>
          <w:b/>
          <w:spacing w:val="-1"/>
          <w:sz w:val="24"/>
        </w:rPr>
        <w:tab/>
      </w:r>
      <w:r w:rsidR="006E0DFF" w:rsidRPr="009B3CDA">
        <w:rPr>
          <w:b/>
          <w:spacing w:val="-1"/>
          <w:sz w:val="24"/>
        </w:rPr>
        <w:t>Subdivision (</w:t>
      </w:r>
      <w:r w:rsidR="001023D6" w:rsidRPr="009B3CDA">
        <w:rPr>
          <w:b/>
          <w:spacing w:val="-1"/>
          <w:sz w:val="24"/>
        </w:rPr>
        <w:t>3</w:t>
      </w:r>
      <w:r w:rsidR="006E0DFF" w:rsidRPr="009B3CDA">
        <w:rPr>
          <w:b/>
          <w:spacing w:val="-1"/>
          <w:sz w:val="24"/>
        </w:rPr>
        <w:t>)</w:t>
      </w:r>
      <w:r w:rsidR="00E87B70" w:rsidRPr="009B3CDA">
        <w:rPr>
          <w:b/>
          <w:spacing w:val="-1"/>
          <w:sz w:val="24"/>
        </w:rPr>
        <w:t xml:space="preserve"> </w:t>
      </w:r>
      <w:r w:rsidR="006E0DFF" w:rsidRPr="009B3CDA">
        <w:rPr>
          <w:b/>
          <w:spacing w:val="-1"/>
          <w:sz w:val="24"/>
        </w:rPr>
        <w:t>(a)</w:t>
      </w:r>
      <w:r w:rsidR="00E87B70" w:rsidRPr="009B3CDA">
        <w:rPr>
          <w:b/>
          <w:spacing w:val="-1"/>
          <w:sz w:val="24"/>
        </w:rPr>
        <w:t xml:space="preserve"> </w:t>
      </w:r>
      <w:r w:rsidR="006E0DFF" w:rsidRPr="009B3CDA">
        <w:rPr>
          <w:b/>
          <w:spacing w:val="-1"/>
          <w:sz w:val="24"/>
        </w:rPr>
        <w:t xml:space="preserve">(i) </w:t>
      </w:r>
      <w:r w:rsidR="006E0DFF" w:rsidRPr="009B3CDA">
        <w:rPr>
          <w:spacing w:val="-1"/>
          <w:sz w:val="24"/>
        </w:rPr>
        <w:t xml:space="preserve">is derived from the facts of the three cases decided in the </w:t>
      </w:r>
      <w:r w:rsidR="006E0DFF" w:rsidRPr="009B3CDA">
        <w:rPr>
          <w:i/>
          <w:spacing w:val="-1"/>
          <w:sz w:val="24"/>
        </w:rPr>
        <w:t xml:space="preserve">Smith </w:t>
      </w:r>
      <w:r w:rsidR="006E0DFF" w:rsidRPr="009B3CDA">
        <w:rPr>
          <w:spacing w:val="-1"/>
          <w:sz w:val="24"/>
        </w:rPr>
        <w:t>opinion (</w:t>
      </w:r>
      <w:r w:rsidR="006E0DFF" w:rsidRPr="009B3CDA">
        <w:rPr>
          <w:i/>
          <w:spacing w:val="-1"/>
          <w:sz w:val="24"/>
        </w:rPr>
        <w:t>Smith</w:t>
      </w:r>
      <w:r w:rsidR="00E87B70" w:rsidRPr="009B3CDA">
        <w:rPr>
          <w:spacing w:val="-1"/>
          <w:sz w:val="24"/>
        </w:rPr>
        <w:t>;</w:t>
      </w:r>
      <w:r w:rsidR="006E0DFF" w:rsidRPr="009B3CDA">
        <w:rPr>
          <w:i/>
          <w:spacing w:val="-1"/>
          <w:sz w:val="24"/>
        </w:rPr>
        <w:t xml:space="preserve"> Ingram</w:t>
      </w:r>
      <w:r w:rsidR="00E87B70" w:rsidRPr="009B3CDA">
        <w:rPr>
          <w:spacing w:val="-1"/>
          <w:sz w:val="24"/>
        </w:rPr>
        <w:t>;</w:t>
      </w:r>
      <w:r w:rsidR="006E0DFF" w:rsidRPr="009B3CDA">
        <w:rPr>
          <w:i/>
          <w:spacing w:val="-1"/>
          <w:sz w:val="24"/>
        </w:rPr>
        <w:t xml:space="preserve"> McG</w:t>
      </w:r>
      <w:r w:rsidR="007771D8" w:rsidRPr="009B3CDA">
        <w:rPr>
          <w:i/>
          <w:spacing w:val="-1"/>
          <w:sz w:val="24"/>
        </w:rPr>
        <w:t>hee</w:t>
      </w:r>
      <w:r w:rsidR="006E0DFF" w:rsidRPr="009B3CDA">
        <w:rPr>
          <w:spacing w:val="-1"/>
          <w:sz w:val="24"/>
        </w:rPr>
        <w:t>). In all three cases, the Court held that a lawsuit alleging misconduct by the testifying officers constituted a good faith basis for the inquiry</w:t>
      </w:r>
      <w:r w:rsidR="005A48DC" w:rsidRPr="009B3CDA">
        <w:rPr>
          <w:spacing w:val="-1"/>
          <w:sz w:val="24"/>
        </w:rPr>
        <w:t xml:space="preserve"> and</w:t>
      </w:r>
      <w:r w:rsidR="006E0DFF" w:rsidRPr="009B3CDA">
        <w:rPr>
          <w:spacing w:val="-1"/>
          <w:sz w:val="24"/>
        </w:rPr>
        <w:t xml:space="preserve"> that specific allegations in those lawsuits </w:t>
      </w:r>
      <w:r w:rsidR="002C56E5" w:rsidRPr="009B3CDA">
        <w:rPr>
          <w:spacing w:val="-1"/>
          <w:sz w:val="24"/>
        </w:rPr>
        <w:t xml:space="preserve">about </w:t>
      </w:r>
      <w:r w:rsidR="006E0DFF" w:rsidRPr="009B3CDA">
        <w:rPr>
          <w:spacing w:val="-1"/>
          <w:sz w:val="24"/>
        </w:rPr>
        <w:t xml:space="preserve">which the defense </w:t>
      </w:r>
      <w:r w:rsidR="00534224" w:rsidRPr="009B3CDA">
        <w:rPr>
          <w:spacing w:val="-1"/>
          <w:sz w:val="24"/>
        </w:rPr>
        <w:t xml:space="preserve">sought </w:t>
      </w:r>
      <w:r w:rsidR="006E0DFF" w:rsidRPr="009B3CDA">
        <w:rPr>
          <w:spacing w:val="-1"/>
          <w:sz w:val="24"/>
        </w:rPr>
        <w:t>to question the officers were relevant to the case on trial and the credibility of the witness.</w:t>
      </w:r>
    </w:p>
    <w:p w14:paraId="5B91CA80" w14:textId="77777777" w:rsidR="00F41097" w:rsidRPr="009B3CDA" w:rsidRDefault="00F41097" w:rsidP="009B3CDA">
      <w:pPr>
        <w:kinsoku w:val="0"/>
        <w:overflowPunct w:val="0"/>
        <w:autoSpaceDE/>
        <w:autoSpaceDN/>
        <w:adjustRightInd/>
        <w:jc w:val="both"/>
        <w:textAlignment w:val="baseline"/>
        <w:rPr>
          <w:spacing w:val="-1"/>
          <w:sz w:val="24"/>
        </w:rPr>
      </w:pPr>
    </w:p>
    <w:p w14:paraId="565F7B53" w14:textId="0522D399" w:rsidR="006E0DFF" w:rsidRPr="009B3CDA" w:rsidRDefault="009B3CDA" w:rsidP="009B3CDA">
      <w:pPr>
        <w:tabs>
          <w:tab w:val="left" w:pos="720"/>
        </w:tabs>
        <w:kinsoku w:val="0"/>
        <w:overflowPunct w:val="0"/>
        <w:autoSpaceDE/>
        <w:autoSpaceDN/>
        <w:adjustRightInd/>
        <w:jc w:val="both"/>
        <w:textAlignment w:val="baseline"/>
        <w:rPr>
          <w:spacing w:val="-1"/>
          <w:sz w:val="24"/>
        </w:rPr>
      </w:pPr>
      <w:r w:rsidRPr="009B3CDA">
        <w:rPr>
          <w:spacing w:val="-1"/>
          <w:sz w:val="24"/>
        </w:rPr>
        <w:tab/>
      </w:r>
      <w:r w:rsidR="006E0DFF" w:rsidRPr="009B3CDA">
        <w:rPr>
          <w:spacing w:val="-1"/>
          <w:sz w:val="24"/>
        </w:rPr>
        <w:t xml:space="preserve">In </w:t>
      </w:r>
      <w:r w:rsidR="006E0DFF" w:rsidRPr="009B3CDA">
        <w:rPr>
          <w:i/>
          <w:spacing w:val="-1"/>
          <w:sz w:val="24"/>
        </w:rPr>
        <w:t>Ingram</w:t>
      </w:r>
      <w:r w:rsidR="006E0DFF" w:rsidRPr="009B3CDA">
        <w:rPr>
          <w:spacing w:val="-1"/>
          <w:sz w:val="24"/>
        </w:rPr>
        <w:t>, for example, the defense was that the officers had “fabricated evidence and concocted a false story” of the events</w:t>
      </w:r>
      <w:r w:rsidR="007771D8" w:rsidRPr="009B3CDA">
        <w:rPr>
          <w:spacing w:val="-1"/>
          <w:sz w:val="24"/>
        </w:rPr>
        <w:t xml:space="preserve"> (27 NY3d at 666)</w:t>
      </w:r>
      <w:r w:rsidR="006E0DFF" w:rsidRPr="009B3CDA">
        <w:rPr>
          <w:spacing w:val="-1"/>
          <w:sz w:val="24"/>
        </w:rPr>
        <w:t>. The officers were subject to a pending civil suit that alleged some of the same conduct; that civil suit provided the good faith basis for the inquiry and for the inquiry of “specific allegations” that were relevant to the officers’ credibility</w:t>
      </w:r>
      <w:r w:rsidR="007771D8" w:rsidRPr="009B3CDA">
        <w:rPr>
          <w:spacing w:val="-1"/>
          <w:sz w:val="24"/>
        </w:rPr>
        <w:t xml:space="preserve"> (</w:t>
      </w:r>
      <w:r w:rsidR="007771D8" w:rsidRPr="009B3CDA">
        <w:rPr>
          <w:i/>
          <w:spacing w:val="-1"/>
          <w:sz w:val="24"/>
        </w:rPr>
        <w:t>id.</w:t>
      </w:r>
      <w:r w:rsidR="007771D8" w:rsidRPr="009B3CDA">
        <w:rPr>
          <w:spacing w:val="-1"/>
          <w:sz w:val="24"/>
        </w:rPr>
        <w:t xml:space="preserve"> at 667)</w:t>
      </w:r>
      <w:r w:rsidR="006E0DFF" w:rsidRPr="009B3CDA">
        <w:rPr>
          <w:spacing w:val="-1"/>
          <w:sz w:val="24"/>
        </w:rPr>
        <w:t>. The trial court</w:t>
      </w:r>
      <w:r w:rsidR="006E0DFF" w:rsidRPr="009B3CDA">
        <w:rPr>
          <w:b/>
          <w:spacing w:val="-1"/>
          <w:sz w:val="24"/>
        </w:rPr>
        <w:t xml:space="preserve"> </w:t>
      </w:r>
      <w:r w:rsidR="006E0DFF" w:rsidRPr="009B3CDA">
        <w:rPr>
          <w:bCs/>
          <w:spacing w:val="-1"/>
          <w:sz w:val="24"/>
        </w:rPr>
        <w:t>had</w:t>
      </w:r>
      <w:r w:rsidR="006E0DFF" w:rsidRPr="009B3CDA">
        <w:rPr>
          <w:spacing w:val="-1"/>
          <w:sz w:val="24"/>
        </w:rPr>
        <w:t xml:space="preserve"> denied the application to cross-examine the officers because the civil action was pending. That, the Court of Appeals held, was an abuse of discretion.</w:t>
      </w:r>
    </w:p>
    <w:p w14:paraId="73F0E400" w14:textId="77777777" w:rsidR="00F41097" w:rsidRPr="009B3CDA" w:rsidRDefault="00F41097" w:rsidP="009B3CDA">
      <w:pPr>
        <w:kinsoku w:val="0"/>
        <w:overflowPunct w:val="0"/>
        <w:autoSpaceDE/>
        <w:autoSpaceDN/>
        <w:adjustRightInd/>
        <w:jc w:val="both"/>
        <w:textAlignment w:val="baseline"/>
        <w:rPr>
          <w:spacing w:val="-1"/>
          <w:sz w:val="24"/>
        </w:rPr>
      </w:pPr>
    </w:p>
    <w:p w14:paraId="280AF64C" w14:textId="38EDE4C7" w:rsidR="006E0DFF" w:rsidRPr="009B3CDA" w:rsidRDefault="009B3CDA" w:rsidP="009B3CDA">
      <w:pPr>
        <w:tabs>
          <w:tab w:val="left" w:pos="720"/>
        </w:tabs>
        <w:kinsoku w:val="0"/>
        <w:overflowPunct w:val="0"/>
        <w:autoSpaceDE/>
        <w:autoSpaceDN/>
        <w:adjustRightInd/>
        <w:jc w:val="both"/>
        <w:textAlignment w:val="baseline"/>
        <w:rPr>
          <w:sz w:val="24"/>
        </w:rPr>
      </w:pPr>
      <w:r w:rsidRPr="009B3CDA">
        <w:rPr>
          <w:sz w:val="24"/>
        </w:rPr>
        <w:tab/>
      </w:r>
      <w:r w:rsidR="006E0DFF" w:rsidRPr="009B3CDA">
        <w:rPr>
          <w:sz w:val="24"/>
        </w:rPr>
        <w:t>It was not relevant that the action was pending or that the lawsuits had not been resolved, given the long-standing rule of impeachment that a good faith basis for inquiry about bad acts is permitted irrespective of whether the prior bad act has been proved in a court proceeding (</w:t>
      </w:r>
      <w:r w:rsidR="006E0DFF" w:rsidRPr="009B3CDA">
        <w:rPr>
          <w:i/>
          <w:sz w:val="24"/>
        </w:rPr>
        <w:t xml:space="preserve">Smith </w:t>
      </w:r>
      <w:r w:rsidR="006E0DFF" w:rsidRPr="009B3CDA">
        <w:rPr>
          <w:sz w:val="24"/>
        </w:rPr>
        <w:t xml:space="preserve">at 661; </w:t>
      </w:r>
      <w:r w:rsidR="006E0DFF" w:rsidRPr="009B3CDA">
        <w:rPr>
          <w:i/>
          <w:sz w:val="24"/>
        </w:rPr>
        <w:t xml:space="preserve">Rouse </w:t>
      </w:r>
      <w:r w:rsidR="006E0DFF" w:rsidRPr="009B3CDA">
        <w:rPr>
          <w:sz w:val="24"/>
        </w:rPr>
        <w:t>at 273).</w:t>
      </w:r>
    </w:p>
    <w:p w14:paraId="56D213C2" w14:textId="2F6797E4" w:rsidR="00F41097" w:rsidRPr="009B3CDA" w:rsidRDefault="00F41097" w:rsidP="009B3CDA">
      <w:pPr>
        <w:tabs>
          <w:tab w:val="left" w:pos="720"/>
        </w:tabs>
        <w:kinsoku w:val="0"/>
        <w:overflowPunct w:val="0"/>
        <w:autoSpaceDE/>
        <w:autoSpaceDN/>
        <w:adjustRightInd/>
        <w:jc w:val="both"/>
        <w:textAlignment w:val="baseline"/>
        <w:rPr>
          <w:sz w:val="24"/>
        </w:rPr>
      </w:pPr>
    </w:p>
    <w:p w14:paraId="47977E9A" w14:textId="6029672A" w:rsidR="006E0DFF" w:rsidRPr="009B3CDA" w:rsidRDefault="009B3CDA" w:rsidP="009B3CDA">
      <w:pPr>
        <w:tabs>
          <w:tab w:val="left" w:pos="720"/>
        </w:tabs>
        <w:kinsoku w:val="0"/>
        <w:overflowPunct w:val="0"/>
        <w:autoSpaceDE/>
        <w:autoSpaceDN/>
        <w:adjustRightInd/>
        <w:jc w:val="both"/>
        <w:textAlignment w:val="baseline"/>
        <w:rPr>
          <w:sz w:val="24"/>
        </w:rPr>
      </w:pPr>
      <w:r w:rsidRPr="009B3CDA">
        <w:rPr>
          <w:b/>
          <w:sz w:val="24"/>
        </w:rPr>
        <w:lastRenderedPageBreak/>
        <w:tab/>
      </w:r>
      <w:r w:rsidR="006E0DFF" w:rsidRPr="009B3CDA">
        <w:rPr>
          <w:b/>
          <w:sz w:val="24"/>
        </w:rPr>
        <w:t>Subdivision (</w:t>
      </w:r>
      <w:r w:rsidR="001023D6" w:rsidRPr="009B3CDA">
        <w:rPr>
          <w:b/>
          <w:sz w:val="24"/>
        </w:rPr>
        <w:t>3</w:t>
      </w:r>
      <w:r w:rsidR="006E0DFF" w:rsidRPr="009B3CDA">
        <w:rPr>
          <w:b/>
          <w:sz w:val="24"/>
        </w:rPr>
        <w:t>)</w:t>
      </w:r>
      <w:r w:rsidR="00E87B70" w:rsidRPr="009B3CDA">
        <w:rPr>
          <w:b/>
          <w:sz w:val="24"/>
        </w:rPr>
        <w:t xml:space="preserve"> </w:t>
      </w:r>
      <w:r w:rsidR="006E0DFF" w:rsidRPr="009B3CDA">
        <w:rPr>
          <w:b/>
          <w:sz w:val="24"/>
        </w:rPr>
        <w:t>(a)</w:t>
      </w:r>
      <w:r w:rsidR="00E87B70" w:rsidRPr="009B3CDA">
        <w:rPr>
          <w:b/>
          <w:sz w:val="24"/>
        </w:rPr>
        <w:t xml:space="preserve"> </w:t>
      </w:r>
      <w:r w:rsidR="006E0DFF" w:rsidRPr="009B3CDA">
        <w:rPr>
          <w:b/>
          <w:sz w:val="24"/>
        </w:rPr>
        <w:t xml:space="preserve">(ii) </w:t>
      </w:r>
      <w:r w:rsidR="006E0DFF" w:rsidRPr="009B3CDA">
        <w:rPr>
          <w:sz w:val="24"/>
        </w:rPr>
        <w:t>sets forth the limitation on cross</w:t>
      </w:r>
      <w:r w:rsidR="005A48DC" w:rsidRPr="009B3CDA">
        <w:rPr>
          <w:sz w:val="24"/>
        </w:rPr>
        <w:t>-</w:t>
      </w:r>
      <w:r w:rsidR="006E0DFF" w:rsidRPr="009B3CDA">
        <w:rPr>
          <w:sz w:val="24"/>
        </w:rPr>
        <w:t xml:space="preserve">examination that </w:t>
      </w:r>
      <w:r w:rsidR="006E0DFF" w:rsidRPr="009B3CDA">
        <w:rPr>
          <w:i/>
          <w:sz w:val="24"/>
        </w:rPr>
        <w:t xml:space="preserve">Smith </w:t>
      </w:r>
      <w:r w:rsidR="006E0DFF" w:rsidRPr="009B3CDA">
        <w:rPr>
          <w:sz w:val="24"/>
        </w:rPr>
        <w:t>pronounced:</w:t>
      </w:r>
    </w:p>
    <w:p w14:paraId="235090B8" w14:textId="77777777" w:rsidR="00F41097" w:rsidRPr="009B3CDA" w:rsidRDefault="00F41097" w:rsidP="009B3CDA">
      <w:pPr>
        <w:kinsoku w:val="0"/>
        <w:overflowPunct w:val="0"/>
        <w:autoSpaceDE/>
        <w:autoSpaceDN/>
        <w:adjustRightInd/>
        <w:jc w:val="both"/>
        <w:textAlignment w:val="baseline"/>
        <w:rPr>
          <w:sz w:val="24"/>
        </w:rPr>
      </w:pPr>
    </w:p>
    <w:p w14:paraId="5B894143" w14:textId="5390CEF9" w:rsidR="006E0DFF" w:rsidRPr="009B3CDA" w:rsidRDefault="006E0DFF" w:rsidP="00F41097">
      <w:pPr>
        <w:kinsoku w:val="0"/>
        <w:overflowPunct w:val="0"/>
        <w:autoSpaceDE/>
        <w:autoSpaceDN/>
        <w:adjustRightInd/>
        <w:ind w:left="720" w:right="720"/>
        <w:jc w:val="both"/>
        <w:textAlignment w:val="baseline"/>
        <w:rPr>
          <w:spacing w:val="-1"/>
          <w:sz w:val="24"/>
        </w:rPr>
      </w:pPr>
      <w:r w:rsidRPr="009B3CDA">
        <w:rPr>
          <w:sz w:val="24"/>
        </w:rPr>
        <w:t>“Where a lawsuit has not resulted in an adverse finding against a police officer, as is the case with these three appeals, defendants should not be permitted to ask a witness if he or she has been sued, if the case was settled (unless there was an admission of wrongdoing) or if the criminal charges related to the plaintiffs in those actions were dismissed. However, subject to the trial court</w:t>
      </w:r>
      <w:r w:rsidR="009B3CDA">
        <w:rPr>
          <w:sz w:val="24"/>
        </w:rPr>
        <w:t>’</w:t>
      </w:r>
      <w:r w:rsidRPr="009B3CDA">
        <w:rPr>
          <w:sz w:val="24"/>
        </w:rPr>
        <w:t>s discretion, defendants should be permitted to ask questions based on the specific allegations of the lawsuit if the allegations are relevant to the credibility of the witness”</w:t>
      </w:r>
      <w:r w:rsidR="00E87B70" w:rsidRPr="009B3CDA">
        <w:rPr>
          <w:sz w:val="24"/>
        </w:rPr>
        <w:t xml:space="preserve"> </w:t>
      </w:r>
      <w:r w:rsidRPr="009B3CDA">
        <w:rPr>
          <w:spacing w:val="-1"/>
          <w:sz w:val="24"/>
        </w:rPr>
        <w:t>(</w:t>
      </w:r>
      <w:r w:rsidRPr="009B3CDA">
        <w:rPr>
          <w:i/>
          <w:spacing w:val="-1"/>
          <w:sz w:val="24"/>
        </w:rPr>
        <w:t xml:space="preserve">Smith </w:t>
      </w:r>
      <w:r w:rsidRPr="009B3CDA">
        <w:rPr>
          <w:spacing w:val="-1"/>
          <w:sz w:val="24"/>
        </w:rPr>
        <w:t>at 662).</w:t>
      </w:r>
    </w:p>
    <w:p w14:paraId="7979136A" w14:textId="77777777" w:rsidR="00F41097" w:rsidRPr="009B3CDA" w:rsidRDefault="00F41097" w:rsidP="009B3CDA">
      <w:pPr>
        <w:kinsoku w:val="0"/>
        <w:overflowPunct w:val="0"/>
        <w:autoSpaceDE/>
        <w:autoSpaceDN/>
        <w:adjustRightInd/>
        <w:ind w:right="720"/>
        <w:jc w:val="both"/>
        <w:textAlignment w:val="baseline"/>
        <w:rPr>
          <w:spacing w:val="-1"/>
          <w:sz w:val="24"/>
        </w:rPr>
      </w:pPr>
    </w:p>
    <w:p w14:paraId="743EB37D" w14:textId="20A571E9" w:rsidR="006E0DFF" w:rsidRPr="009B3CDA" w:rsidRDefault="009B3CDA" w:rsidP="009B3CDA">
      <w:pPr>
        <w:tabs>
          <w:tab w:val="left" w:pos="720"/>
        </w:tabs>
        <w:kinsoku w:val="0"/>
        <w:overflowPunct w:val="0"/>
        <w:autoSpaceDE/>
        <w:autoSpaceDN/>
        <w:adjustRightInd/>
        <w:jc w:val="both"/>
        <w:textAlignment w:val="baseline"/>
        <w:rPr>
          <w:sz w:val="24"/>
        </w:rPr>
      </w:pPr>
      <w:r w:rsidRPr="009B3CDA">
        <w:rPr>
          <w:b/>
          <w:sz w:val="24"/>
        </w:rPr>
        <w:tab/>
      </w:r>
      <w:r w:rsidR="006E0DFF" w:rsidRPr="009B3CDA">
        <w:rPr>
          <w:b/>
          <w:sz w:val="24"/>
        </w:rPr>
        <w:t>Subdivision (</w:t>
      </w:r>
      <w:r w:rsidR="001023D6" w:rsidRPr="009B3CDA">
        <w:rPr>
          <w:b/>
          <w:sz w:val="24"/>
        </w:rPr>
        <w:t>3</w:t>
      </w:r>
      <w:r w:rsidR="006E0DFF" w:rsidRPr="009B3CDA">
        <w:rPr>
          <w:b/>
          <w:sz w:val="24"/>
        </w:rPr>
        <w:t>)</w:t>
      </w:r>
      <w:r w:rsidR="00E87B70" w:rsidRPr="009B3CDA">
        <w:rPr>
          <w:b/>
          <w:sz w:val="24"/>
        </w:rPr>
        <w:t xml:space="preserve"> </w:t>
      </w:r>
      <w:r w:rsidR="006E0DFF" w:rsidRPr="009B3CDA">
        <w:rPr>
          <w:b/>
          <w:sz w:val="24"/>
        </w:rPr>
        <w:t xml:space="preserve">(b) and (c) </w:t>
      </w:r>
      <w:r w:rsidR="006E0DFF" w:rsidRPr="009B3CDA">
        <w:rPr>
          <w:sz w:val="24"/>
        </w:rPr>
        <w:t xml:space="preserve">are principally derived from </w:t>
      </w:r>
      <w:r w:rsidR="006E0DFF" w:rsidRPr="009B3CDA">
        <w:rPr>
          <w:i/>
          <w:sz w:val="24"/>
        </w:rPr>
        <w:t xml:space="preserve">Rouse. Rouse </w:t>
      </w:r>
      <w:r w:rsidR="006E0DFF" w:rsidRPr="009B3CDA">
        <w:rPr>
          <w:sz w:val="24"/>
        </w:rPr>
        <w:t xml:space="preserve">confirmed the holding and scope of </w:t>
      </w:r>
      <w:r w:rsidR="006E0DFF" w:rsidRPr="009B3CDA">
        <w:rPr>
          <w:i/>
          <w:sz w:val="24"/>
        </w:rPr>
        <w:t xml:space="preserve">Smith </w:t>
      </w:r>
      <w:r w:rsidR="006E0DFF" w:rsidRPr="009B3CDA">
        <w:rPr>
          <w:sz w:val="24"/>
        </w:rPr>
        <w:t>by recognizing that, subject to the</w:t>
      </w:r>
      <w:r w:rsidR="00BE61AF" w:rsidRPr="009B3CDA">
        <w:rPr>
          <w:sz w:val="24"/>
        </w:rPr>
        <w:t xml:space="preserve"> </w:t>
      </w:r>
      <w:r w:rsidR="006E0DFF" w:rsidRPr="009B3CDA">
        <w:rPr>
          <w:sz w:val="24"/>
        </w:rPr>
        <w:t xml:space="preserve">analytical framework set forth in </w:t>
      </w:r>
      <w:r w:rsidR="006E0DFF" w:rsidRPr="009B3CDA">
        <w:rPr>
          <w:i/>
          <w:sz w:val="24"/>
        </w:rPr>
        <w:t>Smith</w:t>
      </w:r>
      <w:r w:rsidR="006E0DFF" w:rsidRPr="009B3CDA">
        <w:rPr>
          <w:sz w:val="24"/>
        </w:rPr>
        <w:t>, misstatements of a testifying officer made to a federal prosecutor in a different matter and a prior judicial determination in which a testifying officer was found to have given unreliable testimony constituted a good faith basis for inquiry (</w:t>
      </w:r>
      <w:r w:rsidR="006E0DFF" w:rsidRPr="009B3CDA">
        <w:rPr>
          <w:i/>
          <w:sz w:val="24"/>
        </w:rPr>
        <w:t>Rouse</w:t>
      </w:r>
      <w:r w:rsidR="007771D8" w:rsidRPr="009B3CDA">
        <w:rPr>
          <w:sz w:val="24"/>
        </w:rPr>
        <w:t xml:space="preserve">, 34 NY3d at </w:t>
      </w:r>
      <w:r w:rsidR="006E0DFF" w:rsidRPr="009B3CDA">
        <w:rPr>
          <w:sz w:val="24"/>
        </w:rPr>
        <w:t>276-</w:t>
      </w:r>
      <w:r w:rsidR="00E87B70" w:rsidRPr="009B3CDA">
        <w:rPr>
          <w:sz w:val="24"/>
        </w:rPr>
        <w:t>2</w:t>
      </w:r>
      <w:r w:rsidR="006E0DFF" w:rsidRPr="009B3CDA">
        <w:rPr>
          <w:sz w:val="24"/>
        </w:rPr>
        <w:t>78)</w:t>
      </w:r>
      <w:r w:rsidR="00E87B70" w:rsidRPr="009B3CDA">
        <w:rPr>
          <w:sz w:val="24"/>
        </w:rPr>
        <w:t>.</w:t>
      </w:r>
    </w:p>
    <w:p w14:paraId="12CACA73" w14:textId="77777777" w:rsidR="00F41097" w:rsidRPr="009B3CDA" w:rsidRDefault="00F41097" w:rsidP="009B3CDA">
      <w:pPr>
        <w:kinsoku w:val="0"/>
        <w:overflowPunct w:val="0"/>
        <w:autoSpaceDE/>
        <w:autoSpaceDN/>
        <w:adjustRightInd/>
        <w:jc w:val="both"/>
        <w:textAlignment w:val="baseline"/>
        <w:rPr>
          <w:sz w:val="24"/>
        </w:rPr>
      </w:pPr>
    </w:p>
    <w:p w14:paraId="2478AB03" w14:textId="73E79D8D" w:rsidR="006E0DFF" w:rsidRPr="009B3CDA" w:rsidRDefault="009B3CDA" w:rsidP="009B3CDA">
      <w:pPr>
        <w:tabs>
          <w:tab w:val="left" w:pos="720"/>
        </w:tabs>
        <w:kinsoku w:val="0"/>
        <w:overflowPunct w:val="0"/>
        <w:autoSpaceDE/>
        <w:autoSpaceDN/>
        <w:adjustRightInd/>
        <w:jc w:val="both"/>
        <w:textAlignment w:val="baseline"/>
        <w:rPr>
          <w:spacing w:val="-2"/>
          <w:sz w:val="24"/>
        </w:rPr>
      </w:pPr>
      <w:r w:rsidRPr="009B3CDA">
        <w:rPr>
          <w:spacing w:val="-2"/>
          <w:sz w:val="24"/>
        </w:rPr>
        <w:tab/>
      </w:r>
      <w:r w:rsidR="006E0DFF" w:rsidRPr="009B3CDA">
        <w:rPr>
          <w:spacing w:val="-2"/>
          <w:sz w:val="24"/>
        </w:rPr>
        <w:t xml:space="preserve">The officer in </w:t>
      </w:r>
      <w:r w:rsidR="006E0DFF" w:rsidRPr="009B3CDA">
        <w:rPr>
          <w:i/>
          <w:spacing w:val="-2"/>
          <w:sz w:val="24"/>
        </w:rPr>
        <w:t xml:space="preserve">Rouse </w:t>
      </w:r>
      <w:r w:rsidR="006E0DFF" w:rsidRPr="009B3CDA">
        <w:rPr>
          <w:spacing w:val="-2"/>
          <w:sz w:val="24"/>
        </w:rPr>
        <w:t xml:space="preserve">had “misled” a federal prosecution with respect to his involvement in a ticket-fixing scheme </w:t>
      </w:r>
      <w:r w:rsidR="004F0923" w:rsidRPr="009B3CDA">
        <w:rPr>
          <w:spacing w:val="-2"/>
          <w:sz w:val="24"/>
        </w:rPr>
        <w:t xml:space="preserve">about </w:t>
      </w:r>
      <w:r w:rsidR="006E0DFF" w:rsidRPr="009B3CDA">
        <w:rPr>
          <w:spacing w:val="-2"/>
          <w:sz w:val="24"/>
        </w:rPr>
        <w:t>which the defense should have been permitted to cross-examine him, given that dishonesty is conduct bearing on a person’s truthfulness. (</w:t>
      </w:r>
      <w:r w:rsidR="006E0DFF" w:rsidRPr="009B3CDA">
        <w:rPr>
          <w:i/>
          <w:spacing w:val="-2"/>
          <w:sz w:val="24"/>
        </w:rPr>
        <w:t xml:space="preserve">Id. </w:t>
      </w:r>
      <w:r w:rsidR="006E0DFF" w:rsidRPr="009B3CDA">
        <w:rPr>
          <w:spacing w:val="-2"/>
          <w:sz w:val="24"/>
        </w:rPr>
        <w:t>at 276 [“even where a prior bad act by a law enforcement officer is not criminal, it may be a proper subject for impeachment questioning where it demonstrates an untruthful bent or significantly reveals a willingness . . . to place the advancement of his individual self-interest ahead of principle or of the interests of society” (</w:t>
      </w:r>
      <w:r w:rsidR="00E87B70" w:rsidRPr="009B3CDA">
        <w:rPr>
          <w:spacing w:val="-2"/>
          <w:sz w:val="24"/>
        </w:rPr>
        <w:t xml:space="preserve">internal </w:t>
      </w:r>
      <w:r w:rsidR="006E0DFF" w:rsidRPr="009B3CDA">
        <w:rPr>
          <w:spacing w:val="-2"/>
          <w:sz w:val="24"/>
        </w:rPr>
        <w:t>quotation marks and citation omitted)].</w:t>
      </w:r>
      <w:r w:rsidR="00E87B70" w:rsidRPr="009B3CDA">
        <w:rPr>
          <w:spacing w:val="-2"/>
          <w:sz w:val="24"/>
        </w:rPr>
        <w:t>)</w:t>
      </w:r>
    </w:p>
    <w:p w14:paraId="18997072" w14:textId="77777777" w:rsidR="00F41097" w:rsidRPr="009B3CDA" w:rsidRDefault="00F41097" w:rsidP="009B3CDA">
      <w:pPr>
        <w:kinsoku w:val="0"/>
        <w:overflowPunct w:val="0"/>
        <w:autoSpaceDE/>
        <w:autoSpaceDN/>
        <w:adjustRightInd/>
        <w:jc w:val="both"/>
        <w:textAlignment w:val="baseline"/>
        <w:rPr>
          <w:spacing w:val="-2"/>
          <w:sz w:val="24"/>
        </w:rPr>
      </w:pPr>
    </w:p>
    <w:p w14:paraId="44455B72" w14:textId="67ED727C" w:rsidR="006E0DFF" w:rsidRPr="009B3CDA" w:rsidRDefault="009B3CDA" w:rsidP="009B3CDA">
      <w:pPr>
        <w:tabs>
          <w:tab w:val="left" w:pos="720"/>
        </w:tabs>
        <w:kinsoku w:val="0"/>
        <w:overflowPunct w:val="0"/>
        <w:autoSpaceDE/>
        <w:autoSpaceDN/>
        <w:adjustRightInd/>
        <w:jc w:val="both"/>
        <w:textAlignment w:val="baseline"/>
        <w:rPr>
          <w:sz w:val="24"/>
        </w:rPr>
      </w:pPr>
      <w:r w:rsidRPr="009B3CDA">
        <w:rPr>
          <w:sz w:val="24"/>
        </w:rPr>
        <w:tab/>
      </w:r>
      <w:r w:rsidR="006E0DFF" w:rsidRPr="009B3CDA">
        <w:rPr>
          <w:sz w:val="24"/>
        </w:rPr>
        <w:t xml:space="preserve">Also, in </w:t>
      </w:r>
      <w:r w:rsidR="006E0DFF" w:rsidRPr="009B3CDA">
        <w:rPr>
          <w:i/>
          <w:sz w:val="24"/>
        </w:rPr>
        <w:t>Rouse</w:t>
      </w:r>
      <w:r w:rsidR="006E0DFF" w:rsidRPr="00F1074F">
        <w:rPr>
          <w:iCs/>
          <w:sz w:val="24"/>
        </w:rPr>
        <w:t>,</w:t>
      </w:r>
      <w:r w:rsidR="006E0DFF" w:rsidRPr="009B3CDA">
        <w:rPr>
          <w:i/>
          <w:sz w:val="24"/>
        </w:rPr>
        <w:t xml:space="preserve"> </w:t>
      </w:r>
      <w:r w:rsidR="006E0DFF" w:rsidRPr="009B3CDA">
        <w:rPr>
          <w:sz w:val="24"/>
        </w:rPr>
        <w:t>there were federal court rulings that the police officers testifying in the state court proceeding had given testimony “incredible in a manner which suggested that the officers may have falsely testified in order to obtain a desired result”</w:t>
      </w:r>
      <w:r w:rsidR="00A8172A" w:rsidRPr="009B3CDA">
        <w:rPr>
          <w:sz w:val="24"/>
        </w:rPr>
        <w:t xml:space="preserve"> (</w:t>
      </w:r>
      <w:r w:rsidR="00A8172A" w:rsidRPr="009B3CDA">
        <w:rPr>
          <w:i/>
          <w:sz w:val="24"/>
        </w:rPr>
        <w:t>id.</w:t>
      </w:r>
      <w:r w:rsidR="00A8172A" w:rsidRPr="009B3CDA">
        <w:rPr>
          <w:sz w:val="24"/>
        </w:rPr>
        <w:t xml:space="preserve"> at 280).</w:t>
      </w:r>
      <w:r w:rsidR="006E0DFF" w:rsidRPr="009B3CDA">
        <w:rPr>
          <w:sz w:val="24"/>
        </w:rPr>
        <w:t xml:space="preserve"> Those determinations</w:t>
      </w:r>
      <w:r w:rsidR="000B6951" w:rsidRPr="009B3CDA">
        <w:rPr>
          <w:sz w:val="24"/>
        </w:rPr>
        <w:t>,</w:t>
      </w:r>
      <w:r w:rsidR="006E0DFF" w:rsidRPr="009B3CDA">
        <w:rPr>
          <w:sz w:val="24"/>
        </w:rPr>
        <w:t xml:space="preserve"> held </w:t>
      </w:r>
      <w:r w:rsidR="006E0DFF" w:rsidRPr="009B3CDA">
        <w:rPr>
          <w:i/>
          <w:sz w:val="24"/>
        </w:rPr>
        <w:t>Rouse</w:t>
      </w:r>
      <w:r w:rsidR="00A8172A" w:rsidRPr="009B3CDA">
        <w:rPr>
          <w:sz w:val="24"/>
        </w:rPr>
        <w:t>,</w:t>
      </w:r>
    </w:p>
    <w:p w14:paraId="0C23CE9C" w14:textId="77777777" w:rsidR="00F41097" w:rsidRPr="009B3CDA" w:rsidRDefault="00F41097" w:rsidP="009B3CDA">
      <w:pPr>
        <w:kinsoku w:val="0"/>
        <w:overflowPunct w:val="0"/>
        <w:autoSpaceDE/>
        <w:autoSpaceDN/>
        <w:adjustRightInd/>
        <w:jc w:val="both"/>
        <w:textAlignment w:val="baseline"/>
        <w:rPr>
          <w:sz w:val="24"/>
        </w:rPr>
      </w:pPr>
    </w:p>
    <w:p w14:paraId="36A51A89" w14:textId="7082C28D" w:rsidR="006E0DFF" w:rsidRPr="009B3CDA" w:rsidRDefault="006E0DFF" w:rsidP="00F41097">
      <w:pPr>
        <w:kinsoku w:val="0"/>
        <w:overflowPunct w:val="0"/>
        <w:autoSpaceDE/>
        <w:autoSpaceDN/>
        <w:adjustRightInd/>
        <w:ind w:left="720" w:right="720"/>
        <w:jc w:val="both"/>
        <w:textAlignment w:val="baseline"/>
        <w:rPr>
          <w:spacing w:val="-1"/>
          <w:sz w:val="24"/>
        </w:rPr>
      </w:pPr>
      <w:r w:rsidRPr="009B3CDA">
        <w:rPr>
          <w:spacing w:val="-1"/>
          <w:sz w:val="24"/>
        </w:rPr>
        <w:t>“were probative of the officers</w:t>
      </w:r>
      <w:r w:rsidR="009B3CDA">
        <w:rPr>
          <w:spacing w:val="-1"/>
          <w:sz w:val="24"/>
        </w:rPr>
        <w:t>’</w:t>
      </w:r>
      <w:r w:rsidRPr="009B3CDA">
        <w:rPr>
          <w:spacing w:val="-1"/>
          <w:sz w:val="24"/>
        </w:rPr>
        <w:t xml:space="preserve"> credibility in the current prosecution, where defendant</w:t>
      </w:r>
      <w:r w:rsidR="009B3CDA">
        <w:rPr>
          <w:spacing w:val="-1"/>
          <w:sz w:val="24"/>
        </w:rPr>
        <w:t>’</w:t>
      </w:r>
      <w:r w:rsidRPr="009B3CDA">
        <w:rPr>
          <w:spacing w:val="-1"/>
          <w:sz w:val="24"/>
        </w:rPr>
        <w:t xml:space="preserve">s entire defense was aimed at convincing the jury that the officers were incorrectly identifying him as the shooter in order to avoid backlash for allegedly assaulting defendant upon arrest or for capturing an innocent bystander. The only countervailing prejudice articulated by the court in precluding defense counsel from this line of inquiry was concern that the jury </w:t>
      </w:r>
      <w:r w:rsidR="007846B3" w:rsidRPr="009B3CDA">
        <w:rPr>
          <w:bCs/>
          <w:i/>
          <w:spacing w:val="-1"/>
          <w:sz w:val="24"/>
        </w:rPr>
        <w:t>may</w:t>
      </w:r>
      <w:r w:rsidRPr="009B3CDA">
        <w:rPr>
          <w:spacing w:val="-1"/>
          <w:sz w:val="24"/>
        </w:rPr>
        <w:t xml:space="preserve"> view the prior judicial determinations of credibility as binding. Such concern, however, could be mitigated by providing the jury with clarifying or limiting instructions, and that prejudice does not outweigh the probative and impeaching value of the inquiry.” (</w:t>
      </w:r>
      <w:r w:rsidRPr="009B3CDA">
        <w:rPr>
          <w:i/>
          <w:spacing w:val="-1"/>
          <w:sz w:val="24"/>
        </w:rPr>
        <w:t xml:space="preserve">Id. </w:t>
      </w:r>
      <w:r w:rsidRPr="009B3CDA">
        <w:rPr>
          <w:spacing w:val="-1"/>
          <w:sz w:val="24"/>
        </w:rPr>
        <w:t>at 280-</w:t>
      </w:r>
      <w:r w:rsidR="00E87B70" w:rsidRPr="009B3CDA">
        <w:rPr>
          <w:spacing w:val="-1"/>
          <w:sz w:val="24"/>
        </w:rPr>
        <w:t>2</w:t>
      </w:r>
      <w:r w:rsidRPr="009B3CDA">
        <w:rPr>
          <w:spacing w:val="-1"/>
          <w:sz w:val="24"/>
        </w:rPr>
        <w:t>81</w:t>
      </w:r>
      <w:r w:rsidR="00E87B70" w:rsidRPr="009B3CDA">
        <w:rPr>
          <w:spacing w:val="-1"/>
          <w:sz w:val="24"/>
        </w:rPr>
        <w:t>.</w:t>
      </w:r>
      <w:r w:rsidRPr="009B3CDA">
        <w:rPr>
          <w:spacing w:val="-1"/>
          <w:sz w:val="24"/>
        </w:rPr>
        <w:t>)</w:t>
      </w:r>
    </w:p>
    <w:p w14:paraId="67DD11C3" w14:textId="77777777" w:rsidR="00E87B70" w:rsidRPr="009B3CDA" w:rsidRDefault="00E87B70" w:rsidP="009B3CDA">
      <w:pPr>
        <w:kinsoku w:val="0"/>
        <w:overflowPunct w:val="0"/>
        <w:autoSpaceDE/>
        <w:autoSpaceDN/>
        <w:adjustRightInd/>
        <w:jc w:val="both"/>
        <w:textAlignment w:val="baseline"/>
        <w:rPr>
          <w:spacing w:val="-1"/>
          <w:sz w:val="24"/>
        </w:rPr>
      </w:pPr>
    </w:p>
    <w:p w14:paraId="2393B2DB" w14:textId="2D70613C" w:rsidR="0050475A" w:rsidRPr="009B3CDA" w:rsidRDefault="009B3CDA" w:rsidP="009B3CDA">
      <w:pPr>
        <w:tabs>
          <w:tab w:val="left" w:pos="720"/>
        </w:tabs>
        <w:kinsoku w:val="0"/>
        <w:overflowPunct w:val="0"/>
        <w:autoSpaceDE/>
        <w:autoSpaceDN/>
        <w:adjustRightInd/>
        <w:jc w:val="both"/>
        <w:textAlignment w:val="baseline"/>
        <w:rPr>
          <w:spacing w:val="-2"/>
          <w:sz w:val="24"/>
        </w:rPr>
      </w:pPr>
      <w:r w:rsidRPr="009B3CDA">
        <w:rPr>
          <w:spacing w:val="-2"/>
          <w:sz w:val="24"/>
        </w:rPr>
        <w:tab/>
      </w:r>
      <w:r w:rsidR="006E0DFF" w:rsidRPr="009B3CDA">
        <w:rPr>
          <w:spacing w:val="-2"/>
          <w:sz w:val="24"/>
        </w:rPr>
        <w:t xml:space="preserve">Other examples where the trial court properly allowed or should have allowed cross-examination include: </w:t>
      </w:r>
      <w:r w:rsidR="006E0DFF" w:rsidRPr="009B3CDA">
        <w:rPr>
          <w:i/>
          <w:spacing w:val="-2"/>
          <w:sz w:val="24"/>
        </w:rPr>
        <w:t>People v Enoe</w:t>
      </w:r>
      <w:r w:rsidR="00555CD1" w:rsidRPr="009B3CDA">
        <w:rPr>
          <w:i/>
          <w:spacing w:val="-2"/>
          <w:sz w:val="24"/>
        </w:rPr>
        <w:t xml:space="preserve"> </w:t>
      </w:r>
      <w:r w:rsidR="00075F5F" w:rsidRPr="009B3CDA">
        <w:rPr>
          <w:spacing w:val="-2"/>
          <w:sz w:val="24"/>
        </w:rPr>
        <w:t>(</w:t>
      </w:r>
      <w:r w:rsidR="006E0DFF" w:rsidRPr="009B3CDA">
        <w:rPr>
          <w:spacing w:val="-2"/>
          <w:sz w:val="24"/>
        </w:rPr>
        <w:t>144 AD3d 1052, 1054 [2d Dept 2016] [An officer who testified about having witnessed the defendant possessing a gun in the back seat of a livery cab was properly subject to cross-examination about specific allegations in a federal lawsuit that the officer had falsely arrested an individual “on a weapon possession charge” in order to gain overtime compensation and “</w:t>
      </w:r>
      <w:r w:rsidR="005A48DC" w:rsidRPr="009B3CDA">
        <w:rPr>
          <w:spacing w:val="-2"/>
          <w:sz w:val="24"/>
        </w:rPr>
        <w:t xml:space="preserve"> </w:t>
      </w:r>
      <w:r w:rsidR="006E0DFF" w:rsidRPr="009B3CDA">
        <w:rPr>
          <w:spacing w:val="-2"/>
          <w:sz w:val="24"/>
        </w:rPr>
        <w:t>‘credit’ for a gun-related arrest”]</w:t>
      </w:r>
      <w:r w:rsidR="00E96FE3" w:rsidRPr="009B3CDA">
        <w:rPr>
          <w:spacing w:val="-2"/>
          <w:sz w:val="24"/>
        </w:rPr>
        <w:t>)</w:t>
      </w:r>
      <w:r w:rsidR="005A48DC" w:rsidRPr="009B3CDA">
        <w:rPr>
          <w:spacing w:val="-2"/>
          <w:sz w:val="24"/>
        </w:rPr>
        <w:t xml:space="preserve"> and</w:t>
      </w:r>
      <w:r w:rsidR="006E0DFF" w:rsidRPr="009B3CDA">
        <w:rPr>
          <w:spacing w:val="-2"/>
          <w:sz w:val="24"/>
        </w:rPr>
        <w:t xml:space="preserve"> </w:t>
      </w:r>
      <w:r w:rsidR="006E0DFF" w:rsidRPr="009B3CDA">
        <w:rPr>
          <w:i/>
          <w:spacing w:val="-2"/>
          <w:sz w:val="24"/>
        </w:rPr>
        <w:t>People v Conner</w:t>
      </w:r>
      <w:r w:rsidR="006E0DFF" w:rsidRPr="009B3CDA">
        <w:rPr>
          <w:spacing w:val="-2"/>
          <w:sz w:val="24"/>
        </w:rPr>
        <w:t xml:space="preserve"> </w:t>
      </w:r>
      <w:r w:rsidR="00E96FE3" w:rsidRPr="009B3CDA">
        <w:rPr>
          <w:spacing w:val="-2"/>
          <w:sz w:val="24"/>
        </w:rPr>
        <w:t>(</w:t>
      </w:r>
      <w:r w:rsidR="008F7186" w:rsidRPr="009B3CDA">
        <w:rPr>
          <w:spacing w:val="-2"/>
          <w:sz w:val="24"/>
        </w:rPr>
        <w:t>184 AD3d 431</w:t>
      </w:r>
      <w:r w:rsidR="006E0DFF" w:rsidRPr="009B3CDA">
        <w:rPr>
          <w:spacing w:val="-2"/>
          <w:sz w:val="24"/>
        </w:rPr>
        <w:t>, 4</w:t>
      </w:r>
      <w:r w:rsidR="008F7186" w:rsidRPr="009B3CDA">
        <w:rPr>
          <w:spacing w:val="-2"/>
          <w:sz w:val="24"/>
        </w:rPr>
        <w:t>31</w:t>
      </w:r>
      <w:r w:rsidR="006E0DFF" w:rsidRPr="009B3CDA">
        <w:rPr>
          <w:spacing w:val="-2"/>
          <w:sz w:val="24"/>
        </w:rPr>
        <w:t xml:space="preserve"> [1st Dept 2020] [defendant should have been permitted to cross-examine an officer about allegations in a civil lawsuit that charged him with the lodging of false charges, given that the complaint contained “allegations of falsification specific to this officer (and another officer), which bore on his credibility at the trial”]</w:t>
      </w:r>
      <w:r w:rsidR="00E96FE3" w:rsidRPr="009B3CDA">
        <w:rPr>
          <w:spacing w:val="-2"/>
          <w:sz w:val="24"/>
        </w:rPr>
        <w:t>)</w:t>
      </w:r>
      <w:r w:rsidR="006E0DFF" w:rsidRPr="009B3CDA">
        <w:rPr>
          <w:spacing w:val="-2"/>
          <w:sz w:val="24"/>
        </w:rPr>
        <w:t>.</w:t>
      </w:r>
    </w:p>
    <w:p w14:paraId="172F8414" w14:textId="77777777" w:rsidR="0050475A" w:rsidRPr="009B3CDA" w:rsidRDefault="0050475A" w:rsidP="009B3CDA">
      <w:pPr>
        <w:kinsoku w:val="0"/>
        <w:overflowPunct w:val="0"/>
        <w:autoSpaceDE/>
        <w:autoSpaceDN/>
        <w:adjustRightInd/>
        <w:jc w:val="both"/>
        <w:textAlignment w:val="baseline"/>
        <w:rPr>
          <w:spacing w:val="-2"/>
          <w:sz w:val="24"/>
        </w:rPr>
      </w:pPr>
    </w:p>
    <w:p w14:paraId="6479BAFB" w14:textId="0E64813B" w:rsidR="00261BA6" w:rsidRPr="009B3CDA" w:rsidRDefault="009B3CDA" w:rsidP="009B3CDA">
      <w:pPr>
        <w:tabs>
          <w:tab w:val="left" w:pos="720"/>
        </w:tabs>
        <w:jc w:val="both"/>
        <w:rPr>
          <w:sz w:val="24"/>
          <w:shd w:val="clear" w:color="auto" w:fill="FFFFFF"/>
        </w:rPr>
      </w:pPr>
      <w:r w:rsidRPr="009B3CDA">
        <w:rPr>
          <w:spacing w:val="-1"/>
          <w:sz w:val="24"/>
        </w:rPr>
        <w:tab/>
      </w:r>
      <w:r w:rsidR="006E0DFF" w:rsidRPr="009B3CDA">
        <w:rPr>
          <w:spacing w:val="-1"/>
          <w:sz w:val="24"/>
        </w:rPr>
        <w:t xml:space="preserve">By comparison, examples where the trial court properly denied the impeachment inquiry include: </w:t>
      </w:r>
      <w:r w:rsidR="006E0DFF" w:rsidRPr="009B3CDA">
        <w:rPr>
          <w:i/>
          <w:spacing w:val="-1"/>
          <w:sz w:val="24"/>
        </w:rPr>
        <w:t>People v Watson</w:t>
      </w:r>
      <w:r w:rsidR="008A143B" w:rsidRPr="009B3CDA">
        <w:rPr>
          <w:i/>
          <w:spacing w:val="-1"/>
          <w:sz w:val="24"/>
        </w:rPr>
        <w:t xml:space="preserve"> </w:t>
      </w:r>
      <w:r w:rsidR="00E96FE3" w:rsidRPr="009B3CDA">
        <w:rPr>
          <w:spacing w:val="-1"/>
          <w:sz w:val="24"/>
        </w:rPr>
        <w:t>(</w:t>
      </w:r>
      <w:r w:rsidR="006E0DFF" w:rsidRPr="009B3CDA">
        <w:rPr>
          <w:spacing w:val="-1"/>
          <w:sz w:val="24"/>
        </w:rPr>
        <w:t>163 AD3d 855, 860-</w:t>
      </w:r>
      <w:r w:rsidR="00E96FE3" w:rsidRPr="009B3CDA">
        <w:rPr>
          <w:spacing w:val="-1"/>
          <w:sz w:val="24"/>
        </w:rPr>
        <w:t>8</w:t>
      </w:r>
      <w:r w:rsidR="006E0DFF" w:rsidRPr="009B3CDA">
        <w:rPr>
          <w:spacing w:val="-1"/>
          <w:sz w:val="24"/>
        </w:rPr>
        <w:t>61 [2d Dept 2018] [the trial court properly exercised its discretion in precluding defense counsel from inquiring into the underlying facts of two federal lawsuits because the “complaints in those actions only contained broad conclusory allegations of unlawful police action by large groups of officers, and did not set forth specific acts of misconduct against [the testifying officer] individually”]</w:t>
      </w:r>
      <w:r w:rsidR="00E96FE3" w:rsidRPr="009B3CDA">
        <w:rPr>
          <w:spacing w:val="-1"/>
          <w:sz w:val="24"/>
        </w:rPr>
        <w:t xml:space="preserve">); </w:t>
      </w:r>
      <w:r w:rsidR="006E0DFF" w:rsidRPr="009B3CDA">
        <w:rPr>
          <w:spacing w:val="-1"/>
          <w:sz w:val="24"/>
        </w:rPr>
        <w:t xml:space="preserve"> </w:t>
      </w:r>
      <w:r w:rsidR="006E0DFF" w:rsidRPr="009B3CDA">
        <w:rPr>
          <w:i/>
          <w:spacing w:val="-1"/>
          <w:sz w:val="24"/>
        </w:rPr>
        <w:t>People v Williams</w:t>
      </w:r>
      <w:r w:rsidR="006E0DFF" w:rsidRPr="009B3CDA">
        <w:rPr>
          <w:spacing w:val="-1"/>
          <w:sz w:val="24"/>
        </w:rPr>
        <w:t xml:space="preserve"> </w:t>
      </w:r>
      <w:r w:rsidR="00E96FE3" w:rsidRPr="009B3CDA">
        <w:rPr>
          <w:spacing w:val="-1"/>
          <w:sz w:val="24"/>
        </w:rPr>
        <w:t>(</w:t>
      </w:r>
      <w:r w:rsidR="006E0DFF" w:rsidRPr="009B3CDA">
        <w:rPr>
          <w:spacing w:val="-1"/>
          <w:sz w:val="24"/>
        </w:rPr>
        <w:t>184 AD3d 442, 442 [1st Dept 2020] [“The court providently exercised its  discretion in precluding defendant from cross-examining a Department of Correction captain about a pending disciplinary investigation. The allegations underlying the pending investigation involved a violation of Department policy that had no bearing on the officer</w:t>
      </w:r>
      <w:r>
        <w:rPr>
          <w:spacing w:val="-1"/>
          <w:sz w:val="24"/>
        </w:rPr>
        <w:t>’</w:t>
      </w:r>
      <w:r w:rsidR="006E0DFF" w:rsidRPr="009B3CDA">
        <w:rPr>
          <w:spacing w:val="-1"/>
          <w:sz w:val="24"/>
        </w:rPr>
        <w:t>s credibility, whether in general or in this case”])</w:t>
      </w:r>
      <w:r w:rsidR="00E96FE3" w:rsidRPr="009B3CDA">
        <w:rPr>
          <w:spacing w:val="-1"/>
          <w:sz w:val="24"/>
        </w:rPr>
        <w:t xml:space="preserve"> and</w:t>
      </w:r>
      <w:r w:rsidR="00261BA6" w:rsidRPr="009B3CDA">
        <w:rPr>
          <w:spacing w:val="-1"/>
          <w:sz w:val="24"/>
        </w:rPr>
        <w:t xml:space="preserve"> </w:t>
      </w:r>
      <w:r w:rsidR="00261BA6" w:rsidRPr="009B3CDA">
        <w:rPr>
          <w:i/>
          <w:iCs/>
          <w:sz w:val="24"/>
          <w:shd w:val="clear" w:color="auto" w:fill="FFFFFF"/>
        </w:rPr>
        <w:t>People v Barnes</w:t>
      </w:r>
      <w:r w:rsidR="00261BA6" w:rsidRPr="009B3CDA">
        <w:rPr>
          <w:sz w:val="24"/>
          <w:shd w:val="clear" w:color="auto" w:fill="FFFFFF"/>
        </w:rPr>
        <w:t xml:space="preserve"> </w:t>
      </w:r>
      <w:r w:rsidR="00E96FE3" w:rsidRPr="009B3CDA">
        <w:rPr>
          <w:sz w:val="24"/>
          <w:shd w:val="clear" w:color="auto" w:fill="FFFFFF"/>
        </w:rPr>
        <w:t>(</w:t>
      </w:r>
      <w:r w:rsidR="00261BA6" w:rsidRPr="009B3CDA">
        <w:rPr>
          <w:sz w:val="24"/>
          <w:shd w:val="clear" w:color="auto" w:fill="FFFFFF"/>
        </w:rPr>
        <w:t>173 AD3d 565, 566 [1st Dept 2019] [The court properly denied defense counsel</w:t>
      </w:r>
      <w:r>
        <w:rPr>
          <w:sz w:val="24"/>
          <w:shd w:val="clear" w:color="auto" w:fill="FFFFFF"/>
        </w:rPr>
        <w:t>’</w:t>
      </w:r>
      <w:r w:rsidR="00261BA6" w:rsidRPr="009B3CDA">
        <w:rPr>
          <w:sz w:val="24"/>
          <w:shd w:val="clear" w:color="auto" w:fill="FFFFFF"/>
        </w:rPr>
        <w:t xml:space="preserve">s motion to cross-examine a police witness based on a federal action against him “and other officers” that had been settled without any admission of wrongdoing, where the federal “ ‘complaint did not allege, or even support an inference, that </w:t>
      </w:r>
      <w:r w:rsidR="005A48DC" w:rsidRPr="009B3CDA">
        <w:rPr>
          <w:sz w:val="24"/>
          <w:shd w:val="clear" w:color="auto" w:fill="FFFFFF"/>
        </w:rPr>
        <w:t>(</w:t>
      </w:r>
      <w:r w:rsidR="00261BA6" w:rsidRPr="009B3CDA">
        <w:rPr>
          <w:sz w:val="24"/>
          <w:shd w:val="clear" w:color="auto" w:fill="FFFFFF"/>
        </w:rPr>
        <w:t>the witness</w:t>
      </w:r>
      <w:r w:rsidR="005A48DC" w:rsidRPr="009B3CDA">
        <w:rPr>
          <w:sz w:val="24"/>
          <w:shd w:val="clear" w:color="auto" w:fill="FFFFFF"/>
        </w:rPr>
        <w:t>)</w:t>
      </w:r>
      <w:r w:rsidR="00261BA6" w:rsidRPr="009B3CDA">
        <w:rPr>
          <w:sz w:val="24"/>
          <w:shd w:val="clear" w:color="auto" w:fill="FFFFFF"/>
        </w:rPr>
        <w:t xml:space="preserve"> personally engaged in any specific misconduct or acted with knowledge of the misconduct of other officers’ ” (quoting </w:t>
      </w:r>
      <w:r w:rsidR="00261BA6" w:rsidRPr="009B3CDA">
        <w:rPr>
          <w:i/>
          <w:iCs/>
          <w:sz w:val="24"/>
          <w:shd w:val="clear" w:color="auto" w:fill="FFFFFF"/>
        </w:rPr>
        <w:t>Smith</w:t>
      </w:r>
      <w:r w:rsidR="00261BA6" w:rsidRPr="009B3CDA">
        <w:rPr>
          <w:sz w:val="24"/>
          <w:shd w:val="clear" w:color="auto" w:fill="FFFFFF"/>
        </w:rPr>
        <w:t xml:space="preserve"> at 663)]).</w:t>
      </w:r>
    </w:p>
    <w:p w14:paraId="725516C4" w14:textId="45575E88" w:rsidR="00762E3D" w:rsidRPr="009B3CDA" w:rsidRDefault="00762E3D" w:rsidP="009B3CDA">
      <w:pPr>
        <w:jc w:val="both"/>
        <w:rPr>
          <w:sz w:val="24"/>
          <w:shd w:val="clear" w:color="auto" w:fill="FFFFFF"/>
        </w:rPr>
      </w:pPr>
    </w:p>
    <w:p w14:paraId="77F56E13" w14:textId="5D09A0A8" w:rsidR="00762E3D" w:rsidRPr="009B3CDA" w:rsidRDefault="009B3CDA" w:rsidP="009B3CDA">
      <w:pPr>
        <w:tabs>
          <w:tab w:val="left" w:pos="720"/>
        </w:tabs>
        <w:jc w:val="both"/>
        <w:rPr>
          <w:sz w:val="24"/>
        </w:rPr>
      </w:pPr>
      <w:r w:rsidRPr="009B3CDA">
        <w:rPr>
          <w:sz w:val="24"/>
        </w:rPr>
        <w:tab/>
      </w:r>
      <w:r w:rsidR="00762E3D" w:rsidRPr="009B3CDA">
        <w:rPr>
          <w:sz w:val="24"/>
        </w:rPr>
        <w:t xml:space="preserve">In light of the repeal of Civil Rights Law </w:t>
      </w:r>
      <w:r w:rsidR="005A48DC" w:rsidRPr="009B3CDA">
        <w:rPr>
          <w:sz w:val="24"/>
        </w:rPr>
        <w:t xml:space="preserve">§ </w:t>
      </w:r>
      <w:r w:rsidR="00762E3D" w:rsidRPr="009B3CDA">
        <w:rPr>
          <w:sz w:val="24"/>
        </w:rPr>
        <w:t xml:space="preserve">50-a </w:t>
      </w:r>
      <w:r w:rsidR="00E96FE3" w:rsidRPr="009B3CDA">
        <w:rPr>
          <w:sz w:val="24"/>
        </w:rPr>
        <w:t>(</w:t>
      </w:r>
      <w:r w:rsidR="00762E3D" w:rsidRPr="009B3CDA">
        <w:rPr>
          <w:sz w:val="24"/>
        </w:rPr>
        <w:t xml:space="preserve">L 2020, </w:t>
      </w:r>
      <w:r w:rsidR="00E96FE3" w:rsidRPr="009B3CDA">
        <w:rPr>
          <w:sz w:val="24"/>
        </w:rPr>
        <w:t xml:space="preserve">ch </w:t>
      </w:r>
      <w:r w:rsidR="00762E3D" w:rsidRPr="009B3CDA">
        <w:rPr>
          <w:sz w:val="24"/>
        </w:rPr>
        <w:t xml:space="preserve">96 </w:t>
      </w:r>
      <w:r w:rsidR="00E96FE3" w:rsidRPr="009B3CDA">
        <w:rPr>
          <w:sz w:val="24"/>
        </w:rPr>
        <w:t>[</w:t>
      </w:r>
      <w:r w:rsidR="00762E3D" w:rsidRPr="009B3CDA">
        <w:rPr>
          <w:sz w:val="24"/>
        </w:rPr>
        <w:t>eff June 12, 2020]</w:t>
      </w:r>
      <w:r w:rsidR="00E96FE3" w:rsidRPr="009B3CDA">
        <w:rPr>
          <w:sz w:val="24"/>
        </w:rPr>
        <w:t>)</w:t>
      </w:r>
      <w:r w:rsidR="00762E3D" w:rsidRPr="009B3CDA">
        <w:rPr>
          <w:sz w:val="24"/>
        </w:rPr>
        <w:t xml:space="preserve">, issues have arisen regarding the scope of required disclosure of police internal affairs bureau (IAB) files </w:t>
      </w:r>
      <w:r w:rsidR="00595671" w:rsidRPr="009B3CDA">
        <w:rPr>
          <w:sz w:val="24"/>
        </w:rPr>
        <w:t xml:space="preserve">and the corresponding availability of those records for impeachment.  </w:t>
      </w:r>
      <w:r w:rsidR="00762E3D" w:rsidRPr="009B3CDA">
        <w:rPr>
          <w:sz w:val="24"/>
        </w:rPr>
        <w:t xml:space="preserve">One court has directed the disclosure of “substantiated” and “unsubstantiated” IAB files of police officers involved in a case with the further holding that “exonerated” or “unfounded” files need not be produced on the theory that as a threshold matter there in an insufficient good faith basis for cross-examination by defense counsel of </w:t>
      </w:r>
      <w:r w:rsidR="000C5BA1" w:rsidRPr="009B3CDA">
        <w:rPr>
          <w:sz w:val="24"/>
        </w:rPr>
        <w:t>the</w:t>
      </w:r>
      <w:r w:rsidR="00762E3D" w:rsidRPr="009B3CDA">
        <w:rPr>
          <w:sz w:val="24"/>
        </w:rPr>
        <w:t xml:space="preserve"> latter files. </w:t>
      </w:r>
      <w:r w:rsidR="00DB204E" w:rsidRPr="009B3CDA">
        <w:rPr>
          <w:sz w:val="24"/>
        </w:rPr>
        <w:t>T</w:t>
      </w:r>
      <w:r w:rsidR="00762E3D" w:rsidRPr="009B3CDA">
        <w:rPr>
          <w:sz w:val="24"/>
        </w:rPr>
        <w:t>he ultimate issue regarding the scope of permissible cross-examination of such witnesses</w:t>
      </w:r>
      <w:r w:rsidR="00DB204E" w:rsidRPr="009B3CDA">
        <w:rPr>
          <w:sz w:val="24"/>
        </w:rPr>
        <w:t>, however,</w:t>
      </w:r>
      <w:r w:rsidR="00762E3D" w:rsidRPr="009B3CDA">
        <w:rPr>
          <w:sz w:val="24"/>
        </w:rPr>
        <w:t xml:space="preserve"> remains unsettled and will probably be resolved by in limine motions directed to the trial judge’s discretion.</w:t>
      </w:r>
      <w:r w:rsidR="00E96FE3" w:rsidRPr="009B3CDA">
        <w:rPr>
          <w:sz w:val="24"/>
        </w:rPr>
        <w:t xml:space="preserve"> (</w:t>
      </w:r>
      <w:r w:rsidR="00762E3D" w:rsidRPr="009B3CDA">
        <w:rPr>
          <w:i/>
          <w:iCs/>
          <w:sz w:val="24"/>
        </w:rPr>
        <w:t>See People v Randolph</w:t>
      </w:r>
      <w:r w:rsidR="00762E3D" w:rsidRPr="009B3CDA">
        <w:rPr>
          <w:sz w:val="24"/>
        </w:rPr>
        <w:t xml:space="preserve">, </w:t>
      </w:r>
      <w:r w:rsidR="00FA7CD4" w:rsidRPr="009B3CDA">
        <w:rPr>
          <w:sz w:val="24"/>
        </w:rPr>
        <w:t>69</w:t>
      </w:r>
      <w:r w:rsidR="00762E3D" w:rsidRPr="009B3CDA">
        <w:rPr>
          <w:sz w:val="24"/>
        </w:rPr>
        <w:t xml:space="preserve"> Misc</w:t>
      </w:r>
      <w:r w:rsidR="00E96FE3" w:rsidRPr="009B3CDA">
        <w:rPr>
          <w:sz w:val="24"/>
        </w:rPr>
        <w:t xml:space="preserve"> </w:t>
      </w:r>
      <w:r w:rsidR="00762E3D" w:rsidRPr="009B3CDA">
        <w:rPr>
          <w:sz w:val="24"/>
        </w:rPr>
        <w:t xml:space="preserve">3d </w:t>
      </w:r>
      <w:r w:rsidR="00FA7CD4" w:rsidRPr="009B3CDA">
        <w:rPr>
          <w:sz w:val="24"/>
        </w:rPr>
        <w:t>770</w:t>
      </w:r>
      <w:r w:rsidR="00762E3D" w:rsidRPr="009B3CDA">
        <w:rPr>
          <w:sz w:val="24"/>
        </w:rPr>
        <w:t xml:space="preserve"> </w:t>
      </w:r>
      <w:r w:rsidR="00E96FE3" w:rsidRPr="009B3CDA">
        <w:rPr>
          <w:sz w:val="24"/>
        </w:rPr>
        <w:t>[</w:t>
      </w:r>
      <w:r w:rsidR="00762E3D" w:rsidRPr="009B3CDA">
        <w:rPr>
          <w:sz w:val="24"/>
        </w:rPr>
        <w:t>Sup Ct</w:t>
      </w:r>
      <w:r w:rsidR="003C1A79" w:rsidRPr="009B3CDA">
        <w:rPr>
          <w:sz w:val="24"/>
        </w:rPr>
        <w:t xml:space="preserve">, </w:t>
      </w:r>
      <w:r w:rsidR="00762E3D" w:rsidRPr="009B3CDA">
        <w:rPr>
          <w:sz w:val="24"/>
        </w:rPr>
        <w:t>Suffolk Co</w:t>
      </w:r>
      <w:r w:rsidR="003C1A79" w:rsidRPr="009B3CDA">
        <w:rPr>
          <w:sz w:val="24"/>
        </w:rPr>
        <w:t>unty</w:t>
      </w:r>
      <w:r w:rsidR="00762E3D" w:rsidRPr="009B3CDA">
        <w:rPr>
          <w:sz w:val="24"/>
        </w:rPr>
        <w:t xml:space="preserve"> 20</w:t>
      </w:r>
      <w:r w:rsidR="003C1A79" w:rsidRPr="009B3CDA">
        <w:rPr>
          <w:sz w:val="24"/>
        </w:rPr>
        <w:t>20</w:t>
      </w:r>
      <w:r w:rsidR="00E96FE3" w:rsidRPr="009B3CDA">
        <w:rPr>
          <w:sz w:val="24"/>
        </w:rPr>
        <w:t>]</w:t>
      </w:r>
      <w:r w:rsidR="00F044E2" w:rsidRPr="009B3CDA">
        <w:rPr>
          <w:sz w:val="24"/>
        </w:rPr>
        <w:t>.</w:t>
      </w:r>
      <w:r w:rsidR="00E96FE3" w:rsidRPr="009B3CDA">
        <w:rPr>
          <w:sz w:val="24"/>
        </w:rPr>
        <w:t>)</w:t>
      </w:r>
    </w:p>
    <w:p w14:paraId="607779BE" w14:textId="77777777" w:rsidR="00F41097" w:rsidRPr="009B3CDA" w:rsidRDefault="00F41097" w:rsidP="009B3CDA">
      <w:pPr>
        <w:jc w:val="both"/>
        <w:rPr>
          <w:sz w:val="24"/>
          <w:shd w:val="clear" w:color="auto" w:fill="FFFFFF"/>
        </w:rPr>
      </w:pPr>
    </w:p>
    <w:p w14:paraId="7D360DBE" w14:textId="5D8161DC" w:rsidR="005014F6" w:rsidRPr="009B3CDA" w:rsidRDefault="009B3CDA" w:rsidP="009B3CDA">
      <w:pPr>
        <w:tabs>
          <w:tab w:val="left" w:pos="720"/>
        </w:tabs>
        <w:kinsoku w:val="0"/>
        <w:overflowPunct w:val="0"/>
        <w:autoSpaceDE/>
        <w:autoSpaceDN/>
        <w:adjustRightInd/>
        <w:jc w:val="both"/>
        <w:textAlignment w:val="baseline"/>
        <w:rPr>
          <w:sz w:val="24"/>
        </w:rPr>
      </w:pPr>
      <w:r w:rsidRPr="009B3CDA">
        <w:rPr>
          <w:b/>
          <w:sz w:val="24"/>
        </w:rPr>
        <w:tab/>
      </w:r>
      <w:r w:rsidR="006E0DFF" w:rsidRPr="009B3CDA">
        <w:rPr>
          <w:b/>
          <w:sz w:val="24"/>
        </w:rPr>
        <w:t>Subdivision (</w:t>
      </w:r>
      <w:r w:rsidR="001023D6" w:rsidRPr="009B3CDA">
        <w:rPr>
          <w:b/>
          <w:sz w:val="24"/>
        </w:rPr>
        <w:t>4</w:t>
      </w:r>
      <w:r w:rsidR="006E0DFF" w:rsidRPr="009B3CDA">
        <w:rPr>
          <w:b/>
          <w:sz w:val="24"/>
        </w:rPr>
        <w:t xml:space="preserve">) </w:t>
      </w:r>
      <w:r w:rsidR="006E0DFF" w:rsidRPr="009B3CDA">
        <w:rPr>
          <w:sz w:val="24"/>
        </w:rPr>
        <w:t xml:space="preserve">is derived from </w:t>
      </w:r>
      <w:r w:rsidR="006E0DFF" w:rsidRPr="009B3CDA">
        <w:rPr>
          <w:i/>
          <w:sz w:val="24"/>
        </w:rPr>
        <w:t xml:space="preserve">People v Rosenfeld </w:t>
      </w:r>
      <w:r w:rsidR="006E0DFF" w:rsidRPr="009B3CDA">
        <w:rPr>
          <w:sz w:val="24"/>
        </w:rPr>
        <w:t>(11 NY2d 290</w:t>
      </w:r>
      <w:r w:rsidR="005A48DC" w:rsidRPr="009B3CDA">
        <w:rPr>
          <w:sz w:val="24"/>
        </w:rPr>
        <w:t>, 297-</w:t>
      </w:r>
      <w:r w:rsidR="005A48DC" w:rsidRPr="009B3CDA">
        <w:rPr>
          <w:sz w:val="24"/>
        </w:rPr>
        <w:lastRenderedPageBreak/>
        <w:t>298</w:t>
      </w:r>
      <w:r w:rsidR="006E0DFF" w:rsidRPr="009B3CDA">
        <w:rPr>
          <w:sz w:val="24"/>
        </w:rPr>
        <w:t xml:space="preserve"> [1962]) where the Court explained that it had “held it to be serious error to bring to the jury</w:t>
      </w:r>
      <w:r>
        <w:rPr>
          <w:sz w:val="24"/>
        </w:rPr>
        <w:t>’</w:t>
      </w:r>
      <w:r w:rsidR="006E0DFF" w:rsidRPr="009B3CDA">
        <w:rPr>
          <w:sz w:val="24"/>
        </w:rPr>
        <w:t xml:space="preserve">s attention in a criminal case the fact that the charges on trial had already been determined adversely to the defendant by another tribunal.” Thus, </w:t>
      </w:r>
      <w:r w:rsidR="006E0DFF" w:rsidRPr="009B3CDA">
        <w:rPr>
          <w:i/>
          <w:sz w:val="24"/>
        </w:rPr>
        <w:t xml:space="preserve">Rosenfeld </w:t>
      </w:r>
      <w:r w:rsidR="006E0DFF" w:rsidRPr="009B3CDA">
        <w:rPr>
          <w:sz w:val="24"/>
        </w:rPr>
        <w:t>held it was error for the prosecutor in cross-examining defendants who were police officers to elicit that they had been suspended from police duty for the conduct for which they were on trial. (</w:t>
      </w:r>
      <w:r w:rsidR="006E0DFF" w:rsidRPr="009B3CDA">
        <w:rPr>
          <w:i/>
          <w:sz w:val="24"/>
        </w:rPr>
        <w:t xml:space="preserve">Id. </w:t>
      </w:r>
      <w:r w:rsidR="005A48DC" w:rsidRPr="009B3CDA">
        <w:rPr>
          <w:sz w:val="24"/>
        </w:rPr>
        <w:t xml:space="preserve">at </w:t>
      </w:r>
      <w:r w:rsidR="006E0DFF" w:rsidRPr="009B3CDA">
        <w:rPr>
          <w:sz w:val="24"/>
        </w:rPr>
        <w:t>297-</w:t>
      </w:r>
      <w:r w:rsidR="00E96FE3" w:rsidRPr="009B3CDA">
        <w:rPr>
          <w:sz w:val="24"/>
        </w:rPr>
        <w:t>2</w:t>
      </w:r>
      <w:r w:rsidR="006E0DFF" w:rsidRPr="009B3CDA">
        <w:rPr>
          <w:sz w:val="24"/>
        </w:rPr>
        <w:t>99</w:t>
      </w:r>
      <w:r w:rsidR="005A48DC" w:rsidRPr="009B3CDA">
        <w:rPr>
          <w:sz w:val="24"/>
        </w:rPr>
        <w:t>.</w:t>
      </w:r>
      <w:r w:rsidR="006E0DFF" w:rsidRPr="009B3CDA">
        <w:rPr>
          <w:sz w:val="24"/>
        </w:rPr>
        <w:t>)</w:t>
      </w:r>
    </w:p>
    <w:sectPr w:rsidR="005014F6" w:rsidRPr="009B3CDA" w:rsidSect="00F41097">
      <w:footerReference w:type="default" r:id="rId8"/>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C3074" w14:textId="77777777" w:rsidR="00E52CB5" w:rsidRDefault="00E52CB5" w:rsidP="00573B11">
      <w:r>
        <w:separator/>
      </w:r>
    </w:p>
  </w:endnote>
  <w:endnote w:type="continuationSeparator" w:id="0">
    <w:p w14:paraId="2A0FC1B3" w14:textId="77777777" w:rsidR="00E52CB5" w:rsidRDefault="00E52CB5" w:rsidP="0057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994934"/>
      <w:docPartObj>
        <w:docPartGallery w:val="Page Numbers (Bottom of Page)"/>
        <w:docPartUnique/>
      </w:docPartObj>
    </w:sdtPr>
    <w:sdtEndPr>
      <w:rPr>
        <w:noProof/>
      </w:rPr>
    </w:sdtEndPr>
    <w:sdtContent>
      <w:p w14:paraId="0A5F1E6F" w14:textId="0E9980E8" w:rsidR="00F41097" w:rsidRDefault="00F41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E77D3C" w14:textId="77777777" w:rsidR="00F41097" w:rsidRDefault="00F41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D0838" w14:textId="77777777" w:rsidR="00E52CB5" w:rsidRDefault="00E52CB5" w:rsidP="00573B11">
      <w:r>
        <w:separator/>
      </w:r>
    </w:p>
  </w:footnote>
  <w:footnote w:type="continuationSeparator" w:id="0">
    <w:p w14:paraId="320558F5" w14:textId="77777777" w:rsidR="00E52CB5" w:rsidRDefault="00E52CB5" w:rsidP="00573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698B"/>
    <w:multiLevelType w:val="singleLevel"/>
    <w:tmpl w:val="20CE7EAC"/>
    <w:lvl w:ilvl="0">
      <w:start w:val="1"/>
      <w:numFmt w:val="decimal"/>
      <w:lvlText w:val="(%1)"/>
      <w:lvlJc w:val="left"/>
      <w:pPr>
        <w:tabs>
          <w:tab w:val="num" w:pos="1080"/>
        </w:tabs>
        <w:ind w:left="720"/>
      </w:pPr>
      <w:rPr>
        <w:b/>
        <w:snapToGrid/>
        <w:spacing w:val="-1"/>
        <w:sz w:val="28"/>
      </w:rPr>
    </w:lvl>
  </w:abstractNum>
  <w:abstractNum w:abstractNumId="1" w15:restartNumberingAfterBreak="0">
    <w:nsid w:val="019C1DD3"/>
    <w:multiLevelType w:val="singleLevel"/>
    <w:tmpl w:val="41F83C10"/>
    <w:lvl w:ilvl="0">
      <w:start w:val="1"/>
      <w:numFmt w:val="lowerLetter"/>
      <w:lvlText w:val="(%1)"/>
      <w:lvlJc w:val="left"/>
      <w:pPr>
        <w:tabs>
          <w:tab w:val="num" w:pos="1872"/>
        </w:tabs>
        <w:ind w:left="1440"/>
      </w:pPr>
      <w:rPr>
        <w:rFonts w:ascii="Times New Roman" w:eastAsia="Times New Roman" w:hAnsi="Times New Roman" w:cs="Times New Roman"/>
        <w:b/>
        <w:snapToGrid/>
        <w:spacing w:val="-1"/>
        <w:sz w:val="28"/>
      </w:rPr>
    </w:lvl>
  </w:abstractNum>
  <w:abstractNum w:abstractNumId="2" w15:restartNumberingAfterBreak="0">
    <w:nsid w:val="03D2374F"/>
    <w:multiLevelType w:val="multilevel"/>
    <w:tmpl w:val="13CE2BA4"/>
    <w:lvl w:ilvl="0">
      <w:start w:val="6"/>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99718D"/>
    <w:multiLevelType w:val="singleLevel"/>
    <w:tmpl w:val="17EC4E51"/>
    <w:lvl w:ilvl="0">
      <w:start w:val="2"/>
      <w:numFmt w:val="lowerLetter"/>
      <w:lvlText w:val="(%1)"/>
      <w:lvlJc w:val="left"/>
      <w:pPr>
        <w:tabs>
          <w:tab w:val="num" w:pos="1800"/>
        </w:tabs>
        <w:ind w:left="1224"/>
      </w:pPr>
      <w:rPr>
        <w:b/>
        <w:snapToGrid/>
        <w:spacing w:val="-2"/>
        <w:sz w:val="28"/>
      </w:rPr>
    </w:lvl>
  </w:abstractNum>
  <w:abstractNum w:abstractNumId="4" w15:restartNumberingAfterBreak="0">
    <w:nsid w:val="05B74B58"/>
    <w:multiLevelType w:val="singleLevel"/>
    <w:tmpl w:val="5C9BA6AC"/>
    <w:lvl w:ilvl="0">
      <w:start w:val="1"/>
      <w:numFmt w:val="lowerRoman"/>
      <w:lvlText w:val="(%1)"/>
      <w:lvlJc w:val="left"/>
      <w:pPr>
        <w:tabs>
          <w:tab w:val="num" w:pos="1872"/>
        </w:tabs>
        <w:ind w:left="1584"/>
      </w:pPr>
      <w:rPr>
        <w:b/>
        <w:snapToGrid/>
        <w:spacing w:val="-2"/>
        <w:sz w:val="28"/>
      </w:rPr>
    </w:lvl>
  </w:abstractNum>
  <w:abstractNum w:abstractNumId="5" w15:restartNumberingAfterBreak="0">
    <w:nsid w:val="1C661A29"/>
    <w:multiLevelType w:val="hybridMultilevel"/>
    <w:tmpl w:val="52B45392"/>
    <w:lvl w:ilvl="0" w:tplc="3A82EDCC">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3E20D3"/>
    <w:multiLevelType w:val="hybridMultilevel"/>
    <w:tmpl w:val="ECA879CA"/>
    <w:lvl w:ilvl="0" w:tplc="D9BA6E8C">
      <w:start w:val="4"/>
      <w:numFmt w:val="decimal"/>
      <w:lvlText w:val="(%1)"/>
      <w:lvlJc w:val="left"/>
      <w:pPr>
        <w:tabs>
          <w:tab w:val="num" w:pos="1080"/>
        </w:tabs>
        <w:ind w:left="720" w:firstLine="0"/>
      </w:pPr>
      <w:rPr>
        <w:rFonts w:hint="default"/>
        <w:b/>
        <w:snapToGrid/>
        <w:spacing w:val="-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FF"/>
    <w:rsid w:val="00030730"/>
    <w:rsid w:val="0005740C"/>
    <w:rsid w:val="00075F5F"/>
    <w:rsid w:val="00087D58"/>
    <w:rsid w:val="000A7AEA"/>
    <w:rsid w:val="000B6951"/>
    <w:rsid w:val="000C5BA1"/>
    <w:rsid w:val="000D4082"/>
    <w:rsid w:val="001023D6"/>
    <w:rsid w:val="00187229"/>
    <w:rsid w:val="00187414"/>
    <w:rsid w:val="001C363C"/>
    <w:rsid w:val="001E585C"/>
    <w:rsid w:val="0021687A"/>
    <w:rsid w:val="00261BA6"/>
    <w:rsid w:val="00292C71"/>
    <w:rsid w:val="002C56E5"/>
    <w:rsid w:val="002E65F9"/>
    <w:rsid w:val="0033521F"/>
    <w:rsid w:val="00340DA1"/>
    <w:rsid w:val="00387D88"/>
    <w:rsid w:val="003C1A79"/>
    <w:rsid w:val="00442DBB"/>
    <w:rsid w:val="004507E0"/>
    <w:rsid w:val="004C5AAC"/>
    <w:rsid w:val="004F0923"/>
    <w:rsid w:val="005014F6"/>
    <w:rsid w:val="0050475A"/>
    <w:rsid w:val="00534224"/>
    <w:rsid w:val="00555CD1"/>
    <w:rsid w:val="00573B11"/>
    <w:rsid w:val="00595671"/>
    <w:rsid w:val="005A48DC"/>
    <w:rsid w:val="005B349E"/>
    <w:rsid w:val="006111A8"/>
    <w:rsid w:val="00624A97"/>
    <w:rsid w:val="00624AB5"/>
    <w:rsid w:val="006A65AF"/>
    <w:rsid w:val="006B4723"/>
    <w:rsid w:val="006C43D9"/>
    <w:rsid w:val="006D0186"/>
    <w:rsid w:val="006E0DFF"/>
    <w:rsid w:val="006F5D0A"/>
    <w:rsid w:val="0073166F"/>
    <w:rsid w:val="00746FA9"/>
    <w:rsid w:val="007535A4"/>
    <w:rsid w:val="00762E3D"/>
    <w:rsid w:val="007771D8"/>
    <w:rsid w:val="007846B3"/>
    <w:rsid w:val="007D36DD"/>
    <w:rsid w:val="007D41BD"/>
    <w:rsid w:val="007E35EE"/>
    <w:rsid w:val="008A143B"/>
    <w:rsid w:val="008C0375"/>
    <w:rsid w:val="008F7186"/>
    <w:rsid w:val="00905757"/>
    <w:rsid w:val="00913A74"/>
    <w:rsid w:val="00925CDD"/>
    <w:rsid w:val="00926356"/>
    <w:rsid w:val="00980524"/>
    <w:rsid w:val="009B3CDA"/>
    <w:rsid w:val="009E6872"/>
    <w:rsid w:val="00A8172A"/>
    <w:rsid w:val="00AE11A6"/>
    <w:rsid w:val="00B907FD"/>
    <w:rsid w:val="00B9420C"/>
    <w:rsid w:val="00B96CAD"/>
    <w:rsid w:val="00BB1D0C"/>
    <w:rsid w:val="00BC4441"/>
    <w:rsid w:val="00BE61AF"/>
    <w:rsid w:val="00C07FD5"/>
    <w:rsid w:val="00C1581B"/>
    <w:rsid w:val="00C25890"/>
    <w:rsid w:val="00C340D2"/>
    <w:rsid w:val="00C47DC1"/>
    <w:rsid w:val="00C728CE"/>
    <w:rsid w:val="00C822F7"/>
    <w:rsid w:val="00CA48C4"/>
    <w:rsid w:val="00CD3FAC"/>
    <w:rsid w:val="00CF0041"/>
    <w:rsid w:val="00CF2F0D"/>
    <w:rsid w:val="00D05856"/>
    <w:rsid w:val="00D13A1D"/>
    <w:rsid w:val="00D33D21"/>
    <w:rsid w:val="00D446EB"/>
    <w:rsid w:val="00D71FBB"/>
    <w:rsid w:val="00D76C18"/>
    <w:rsid w:val="00DA6829"/>
    <w:rsid w:val="00DB204E"/>
    <w:rsid w:val="00DC3750"/>
    <w:rsid w:val="00DF3C1E"/>
    <w:rsid w:val="00E04038"/>
    <w:rsid w:val="00E40DFB"/>
    <w:rsid w:val="00E52CB5"/>
    <w:rsid w:val="00E87B70"/>
    <w:rsid w:val="00E93C0F"/>
    <w:rsid w:val="00E96FE3"/>
    <w:rsid w:val="00F044E2"/>
    <w:rsid w:val="00F1074F"/>
    <w:rsid w:val="00F32C5A"/>
    <w:rsid w:val="00F41097"/>
    <w:rsid w:val="00FA7CD4"/>
    <w:rsid w:val="00FC4C6B"/>
    <w:rsid w:val="00FD23B5"/>
    <w:rsid w:val="00FD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4756"/>
  <w15:chartTrackingRefBased/>
  <w15:docId w15:val="{3A3AD0F0-DF7E-4541-B534-326D6EBA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E0DFF"/>
    <w:pPr>
      <w:widowControl w:val="0"/>
      <w:autoSpaceDE w:val="0"/>
      <w:autoSpaceDN w:val="0"/>
      <w:adjustRightInd w:val="0"/>
      <w:ind w:left="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B11"/>
    <w:pPr>
      <w:tabs>
        <w:tab w:val="center" w:pos="4680"/>
        <w:tab w:val="right" w:pos="9360"/>
      </w:tabs>
    </w:pPr>
  </w:style>
  <w:style w:type="character" w:customStyle="1" w:styleId="HeaderChar">
    <w:name w:val="Header Char"/>
    <w:basedOn w:val="DefaultParagraphFont"/>
    <w:link w:val="Header"/>
    <w:uiPriority w:val="99"/>
    <w:rsid w:val="00573B1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73B11"/>
    <w:pPr>
      <w:tabs>
        <w:tab w:val="center" w:pos="4680"/>
        <w:tab w:val="right" w:pos="9360"/>
      </w:tabs>
    </w:pPr>
  </w:style>
  <w:style w:type="character" w:customStyle="1" w:styleId="FooterChar">
    <w:name w:val="Footer Char"/>
    <w:basedOn w:val="DefaultParagraphFont"/>
    <w:link w:val="Footer"/>
    <w:uiPriority w:val="99"/>
    <w:rsid w:val="00573B11"/>
    <w:rPr>
      <w:rFonts w:ascii="Times New Roman" w:eastAsia="Times New Roman" w:hAnsi="Times New Roman" w:cs="Times New Roman"/>
      <w:sz w:val="20"/>
      <w:szCs w:val="24"/>
    </w:rPr>
  </w:style>
  <w:style w:type="paragraph" w:styleId="ListParagraph">
    <w:name w:val="List Paragraph"/>
    <w:basedOn w:val="Normal"/>
    <w:uiPriority w:val="34"/>
    <w:qFormat/>
    <w:rsid w:val="006B4723"/>
    <w:pPr>
      <w:ind w:left="720"/>
      <w:contextualSpacing/>
    </w:pPr>
  </w:style>
  <w:style w:type="character" w:styleId="CommentReference">
    <w:name w:val="annotation reference"/>
    <w:basedOn w:val="DefaultParagraphFont"/>
    <w:uiPriority w:val="99"/>
    <w:semiHidden/>
    <w:unhideWhenUsed/>
    <w:rsid w:val="007771D8"/>
    <w:rPr>
      <w:sz w:val="16"/>
      <w:szCs w:val="16"/>
    </w:rPr>
  </w:style>
  <w:style w:type="paragraph" w:styleId="CommentText">
    <w:name w:val="annotation text"/>
    <w:basedOn w:val="Normal"/>
    <w:link w:val="CommentTextChar"/>
    <w:uiPriority w:val="99"/>
    <w:semiHidden/>
    <w:unhideWhenUsed/>
    <w:rsid w:val="007771D8"/>
    <w:rPr>
      <w:szCs w:val="20"/>
    </w:rPr>
  </w:style>
  <w:style w:type="character" w:customStyle="1" w:styleId="CommentTextChar">
    <w:name w:val="Comment Text Char"/>
    <w:basedOn w:val="DefaultParagraphFont"/>
    <w:link w:val="CommentText"/>
    <w:uiPriority w:val="99"/>
    <w:semiHidden/>
    <w:rsid w:val="007771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1D8"/>
    <w:rPr>
      <w:b/>
      <w:bCs/>
    </w:rPr>
  </w:style>
  <w:style w:type="character" w:customStyle="1" w:styleId="CommentSubjectChar">
    <w:name w:val="Comment Subject Char"/>
    <w:basedOn w:val="CommentTextChar"/>
    <w:link w:val="CommentSubject"/>
    <w:uiPriority w:val="99"/>
    <w:semiHidden/>
    <w:rsid w:val="007771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526783">
      <w:bodyDiv w:val="1"/>
      <w:marLeft w:val="0"/>
      <w:marRight w:val="0"/>
      <w:marTop w:val="0"/>
      <w:marBottom w:val="0"/>
      <w:divBdr>
        <w:top w:val="none" w:sz="0" w:space="0" w:color="auto"/>
        <w:left w:val="none" w:sz="0" w:space="0" w:color="auto"/>
        <w:bottom w:val="none" w:sz="0" w:space="0" w:color="auto"/>
        <w:right w:val="none" w:sz="0" w:space="0" w:color="auto"/>
      </w:divBdr>
    </w:div>
    <w:div w:id="10643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B5D1-220C-4BA2-BCFF-4C46A1FD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5</cp:revision>
  <cp:lastPrinted>2020-12-02T16:48:00Z</cp:lastPrinted>
  <dcterms:created xsi:type="dcterms:W3CDTF">2020-12-09T15:09:00Z</dcterms:created>
  <dcterms:modified xsi:type="dcterms:W3CDTF">2020-12-18T17:53:00Z</dcterms:modified>
</cp:coreProperties>
</file>