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991CFC" w14:textId="61101142" w:rsidR="00C0697F" w:rsidRPr="001630CB" w:rsidRDefault="00C0697F"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b/>
          <w:bCs/>
          <w:sz w:val="28"/>
          <w:szCs w:val="28"/>
        </w:rPr>
      </w:pPr>
      <w:r w:rsidRPr="001630CB">
        <w:rPr>
          <w:b/>
          <w:bCs/>
          <w:sz w:val="28"/>
          <w:szCs w:val="28"/>
          <w:lang w:val="en-CA"/>
        </w:rPr>
        <w:fldChar w:fldCharType="begin"/>
      </w:r>
      <w:r w:rsidRPr="001630CB">
        <w:rPr>
          <w:b/>
          <w:bCs/>
          <w:sz w:val="28"/>
          <w:szCs w:val="28"/>
          <w:lang w:val="en-CA"/>
        </w:rPr>
        <w:instrText xml:space="preserve"> SEQ CHAPTER \h \r 1</w:instrText>
      </w:r>
      <w:r w:rsidRPr="001630CB">
        <w:rPr>
          <w:b/>
          <w:bCs/>
          <w:sz w:val="28"/>
          <w:szCs w:val="28"/>
          <w:lang w:val="en-CA"/>
        </w:rPr>
        <w:fldChar w:fldCharType="end"/>
      </w:r>
      <w:r w:rsidR="006962A4" w:rsidRPr="001630CB">
        <w:rPr>
          <w:b/>
          <w:bCs/>
          <w:sz w:val="28"/>
          <w:szCs w:val="28"/>
        </w:rPr>
        <w:t>7.0</w:t>
      </w:r>
      <w:r w:rsidR="0036770F" w:rsidRPr="001630CB">
        <w:rPr>
          <w:b/>
          <w:bCs/>
          <w:sz w:val="28"/>
          <w:szCs w:val="28"/>
        </w:rPr>
        <w:t>1</w:t>
      </w:r>
      <w:r w:rsidR="006962A4" w:rsidRPr="001630CB">
        <w:rPr>
          <w:b/>
          <w:bCs/>
          <w:sz w:val="28"/>
          <w:szCs w:val="28"/>
        </w:rPr>
        <w:t xml:space="preserve"> Opinion of Expert Witness</w:t>
      </w:r>
      <w:r w:rsidR="005807CB" w:rsidRPr="001630CB">
        <w:rPr>
          <w:rStyle w:val="EndnoteReference"/>
          <w:b/>
          <w:bCs/>
          <w:sz w:val="28"/>
          <w:szCs w:val="28"/>
        </w:rPr>
        <w:endnoteReference w:id="2"/>
      </w:r>
    </w:p>
    <w:p w14:paraId="0BF9A114" w14:textId="77777777" w:rsidR="006962A4" w:rsidRPr="001630CB" w:rsidRDefault="006962A4"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b/>
          <w:bCs/>
          <w:sz w:val="28"/>
          <w:szCs w:val="28"/>
        </w:rPr>
      </w:pPr>
    </w:p>
    <w:p w14:paraId="02A53238" w14:textId="77777777" w:rsidR="00C0697F" w:rsidRPr="001630CB" w:rsidRDefault="00C0697F" w:rsidP="001A535B">
      <w:pPr>
        <w:widowControl/>
        <w:tabs>
          <w:tab w:val="left" w:pos="720"/>
          <w:tab w:val="left" w:pos="1440"/>
          <w:tab w:val="left" w:pos="2160"/>
          <w:tab w:val="left" w:pos="2880"/>
          <w:tab w:val="left" w:pos="3600"/>
          <w:tab w:val="left" w:pos="4320"/>
          <w:tab w:val="left" w:pos="5040"/>
          <w:tab w:val="left" w:pos="5760"/>
          <w:tab w:val="left" w:pos="6480"/>
          <w:tab w:val="left" w:pos="7198"/>
        </w:tabs>
        <w:spacing w:line="276" w:lineRule="auto"/>
        <w:ind w:left="720" w:right="720"/>
        <w:jc w:val="both"/>
        <w:rPr>
          <w:b/>
          <w:bCs/>
          <w:sz w:val="28"/>
          <w:szCs w:val="28"/>
        </w:rPr>
      </w:pPr>
      <w:r w:rsidRPr="001630CB">
        <w:rPr>
          <w:b/>
          <w:bCs/>
          <w:sz w:val="28"/>
          <w:szCs w:val="28"/>
        </w:rPr>
        <w:t>(1) A person qualified as an expert by knowledge, skill, experience, training, or education, may testify to an opinion or information concerning scientific, technical, medical, or other specialized knowledge when:</w:t>
      </w:r>
    </w:p>
    <w:p w14:paraId="1684396E" w14:textId="77777777" w:rsidR="006962A4" w:rsidRPr="001630CB" w:rsidRDefault="006962A4" w:rsidP="001A535B">
      <w:pPr>
        <w:widowControl/>
        <w:tabs>
          <w:tab w:val="left" w:pos="720"/>
          <w:tab w:val="left" w:pos="1440"/>
          <w:tab w:val="left" w:pos="2160"/>
          <w:tab w:val="left" w:pos="2880"/>
          <w:tab w:val="left" w:pos="3600"/>
          <w:tab w:val="left" w:pos="4320"/>
          <w:tab w:val="left" w:pos="5040"/>
          <w:tab w:val="left" w:pos="5760"/>
          <w:tab w:val="left" w:pos="6480"/>
          <w:tab w:val="left" w:pos="7198"/>
        </w:tabs>
        <w:spacing w:line="276" w:lineRule="auto"/>
        <w:ind w:right="720"/>
        <w:jc w:val="both"/>
        <w:rPr>
          <w:b/>
          <w:bCs/>
          <w:sz w:val="28"/>
          <w:szCs w:val="28"/>
        </w:rPr>
      </w:pPr>
    </w:p>
    <w:p w14:paraId="699BF572" w14:textId="77777777" w:rsidR="00C0697F" w:rsidRPr="001630CB" w:rsidRDefault="00C0697F" w:rsidP="001A535B">
      <w:pPr>
        <w:widowControl/>
        <w:tabs>
          <w:tab w:val="left" w:pos="1440"/>
          <w:tab w:val="left" w:pos="2160"/>
          <w:tab w:val="left" w:pos="2880"/>
          <w:tab w:val="left" w:pos="3600"/>
          <w:tab w:val="left" w:pos="4320"/>
          <w:tab w:val="left" w:pos="5040"/>
          <w:tab w:val="left" w:pos="5760"/>
          <w:tab w:val="left" w:pos="6480"/>
        </w:tabs>
        <w:spacing w:line="276" w:lineRule="auto"/>
        <w:ind w:left="1440" w:right="720"/>
        <w:jc w:val="both"/>
        <w:rPr>
          <w:b/>
          <w:bCs/>
          <w:sz w:val="28"/>
          <w:szCs w:val="28"/>
        </w:rPr>
      </w:pPr>
      <w:r w:rsidRPr="001630CB">
        <w:rPr>
          <w:b/>
          <w:bCs/>
          <w:sz w:val="28"/>
          <w:szCs w:val="28"/>
        </w:rPr>
        <w:t>(a) the subject matter is beyond the knowledge or understanding, or will dispel misconceptions, of a typical finder of fact; and</w:t>
      </w:r>
    </w:p>
    <w:p w14:paraId="1F240802" w14:textId="77777777" w:rsidR="006962A4" w:rsidRPr="001630CB" w:rsidRDefault="006962A4" w:rsidP="001A535B">
      <w:pPr>
        <w:widowControl/>
        <w:tabs>
          <w:tab w:val="left" w:pos="1440"/>
          <w:tab w:val="left" w:pos="2160"/>
          <w:tab w:val="left" w:pos="2880"/>
          <w:tab w:val="left" w:pos="3600"/>
          <w:tab w:val="left" w:pos="4320"/>
          <w:tab w:val="left" w:pos="5040"/>
          <w:tab w:val="left" w:pos="5760"/>
          <w:tab w:val="left" w:pos="6480"/>
          <w:tab w:val="left" w:pos="6768"/>
        </w:tabs>
        <w:spacing w:line="276" w:lineRule="auto"/>
        <w:ind w:right="1152"/>
        <w:jc w:val="both"/>
        <w:rPr>
          <w:b/>
          <w:bCs/>
          <w:sz w:val="28"/>
          <w:szCs w:val="28"/>
        </w:rPr>
      </w:pPr>
    </w:p>
    <w:p w14:paraId="4453F64A" w14:textId="77777777" w:rsidR="00C0697F" w:rsidRPr="001630CB" w:rsidRDefault="00C0697F" w:rsidP="001A535B">
      <w:pPr>
        <w:widowControl/>
        <w:tabs>
          <w:tab w:val="left" w:pos="1440"/>
          <w:tab w:val="left" w:pos="2160"/>
          <w:tab w:val="left" w:pos="2880"/>
          <w:tab w:val="left" w:pos="3600"/>
          <w:tab w:val="left" w:pos="4320"/>
          <w:tab w:val="left" w:pos="5040"/>
          <w:tab w:val="left" w:pos="5760"/>
          <w:tab w:val="left" w:pos="6480"/>
        </w:tabs>
        <w:spacing w:line="276" w:lineRule="auto"/>
        <w:ind w:left="1440" w:right="720"/>
        <w:jc w:val="both"/>
        <w:rPr>
          <w:b/>
          <w:bCs/>
          <w:sz w:val="28"/>
          <w:szCs w:val="28"/>
        </w:rPr>
      </w:pPr>
      <w:r w:rsidRPr="001630CB">
        <w:rPr>
          <w:b/>
          <w:bCs/>
          <w:sz w:val="28"/>
          <w:szCs w:val="28"/>
        </w:rPr>
        <w:t>(b) the testimony will help the finder of fact to understand the evidence or determine a fact in issue, especially when the facts cannot be stated or described in such a manner as to enable the finder of fact to form an accurate judgment about the subject matter.</w:t>
      </w:r>
    </w:p>
    <w:p w14:paraId="641C4C3F" w14:textId="77777777" w:rsidR="006962A4" w:rsidRPr="001630CB" w:rsidRDefault="006962A4" w:rsidP="001A535B">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76" w:lineRule="auto"/>
        <w:ind w:left="0" w:right="720"/>
        <w:rPr>
          <w:rFonts w:ascii="Times New Roman" w:hAnsi="Times New Roman" w:cs="Times New Roman"/>
          <w:b/>
          <w:bCs/>
          <w:sz w:val="28"/>
          <w:szCs w:val="28"/>
        </w:rPr>
      </w:pPr>
    </w:p>
    <w:p w14:paraId="2CA60526" w14:textId="77777777" w:rsidR="00C0697F" w:rsidRPr="001630CB" w:rsidRDefault="00C0697F" w:rsidP="001A535B">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76" w:lineRule="auto"/>
        <w:ind w:right="720"/>
        <w:rPr>
          <w:rFonts w:ascii="Times New Roman" w:hAnsi="Times New Roman" w:cs="Times New Roman"/>
          <w:b/>
          <w:bCs/>
          <w:sz w:val="28"/>
          <w:szCs w:val="28"/>
        </w:rPr>
      </w:pPr>
      <w:r w:rsidRPr="001630CB">
        <w:rPr>
          <w:rFonts w:ascii="Times New Roman" w:hAnsi="Times New Roman" w:cs="Times New Roman"/>
          <w:b/>
          <w:bCs/>
          <w:sz w:val="28"/>
          <w:szCs w:val="28"/>
        </w:rPr>
        <w:t>(2) Where the subject matter of the testimony is not based on the personal training or experience of the witness but rather is based on scientifically developed procedures, tests, or experiments, it must also be (or have been) established that: (a) there is general acceptance within the relevant scientific community of the validity of the theory or principle underlying the procedure, test, or experiment; (b) there is general acceptance within the relevant scientific community that the procedure, test, or experiment is reliable and produces accurate results; and (c) the particular procedure, test, or experiment was conducted in such a way as to yield an accurate result.</w:t>
      </w:r>
    </w:p>
    <w:p w14:paraId="78204ABC" w14:textId="77777777" w:rsidR="00C0697F" w:rsidRPr="001630CB" w:rsidRDefault="00C0697F" w:rsidP="001A535B">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76" w:lineRule="auto"/>
        <w:ind w:left="0" w:right="720"/>
        <w:rPr>
          <w:rFonts w:ascii="Times New Roman" w:hAnsi="Times New Roman" w:cs="Times New Roman"/>
          <w:b/>
          <w:bCs/>
          <w:sz w:val="28"/>
          <w:szCs w:val="28"/>
        </w:rPr>
      </w:pPr>
    </w:p>
    <w:p w14:paraId="09DFF687" w14:textId="77777777" w:rsidR="00C0697F" w:rsidRPr="001630CB" w:rsidRDefault="00C0697F" w:rsidP="001A535B">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76" w:lineRule="auto"/>
        <w:ind w:right="720"/>
        <w:rPr>
          <w:rFonts w:ascii="Times New Roman" w:hAnsi="Times New Roman" w:cs="Times New Roman"/>
          <w:b/>
          <w:bCs/>
          <w:sz w:val="28"/>
          <w:szCs w:val="28"/>
        </w:rPr>
      </w:pPr>
      <w:r w:rsidRPr="001630CB">
        <w:rPr>
          <w:rFonts w:ascii="Times New Roman" w:hAnsi="Times New Roman" w:cs="Times New Roman"/>
          <w:b/>
          <w:bCs/>
          <w:sz w:val="28"/>
          <w:szCs w:val="28"/>
        </w:rPr>
        <w:t>(3) Testimony in the form of an opinion or inference that meets the foregoing criteria for admissibility is admissible even if it embraces an ultimate issue to be decided by the trier of fact.</w:t>
      </w:r>
    </w:p>
    <w:p w14:paraId="70013FA1" w14:textId="77777777" w:rsidR="00C0697F" w:rsidRPr="001630CB" w:rsidRDefault="00C0697F" w:rsidP="001A535B">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b/>
          <w:bCs/>
          <w:sz w:val="28"/>
          <w:szCs w:val="28"/>
        </w:rPr>
      </w:pPr>
    </w:p>
    <w:p w14:paraId="7AF2F23B" w14:textId="77777777" w:rsidR="00C0697F" w:rsidRPr="001630CB" w:rsidRDefault="00C0697F" w:rsidP="001A535B">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76" w:lineRule="auto"/>
        <w:ind w:right="720"/>
        <w:rPr>
          <w:rFonts w:ascii="Times New Roman" w:hAnsi="Times New Roman" w:cs="Times New Roman"/>
          <w:b/>
          <w:bCs/>
          <w:sz w:val="28"/>
          <w:szCs w:val="28"/>
        </w:rPr>
      </w:pPr>
      <w:r w:rsidRPr="001630CB">
        <w:rPr>
          <w:rFonts w:ascii="Times New Roman" w:hAnsi="Times New Roman" w:cs="Times New Roman"/>
          <w:b/>
          <w:bCs/>
          <w:sz w:val="28"/>
          <w:szCs w:val="28"/>
        </w:rPr>
        <w:lastRenderedPageBreak/>
        <w:t>(4) An expert need not assert a conclusion with certainty, so long as the expert demonstrates a degree of confidence in the conclusion sufficient to satisfy accepted standards of rel</w:t>
      </w:r>
      <w:r w:rsidR="006962A4" w:rsidRPr="001630CB">
        <w:rPr>
          <w:rFonts w:ascii="Times New Roman" w:hAnsi="Times New Roman" w:cs="Times New Roman"/>
          <w:b/>
          <w:bCs/>
          <w:sz w:val="28"/>
          <w:szCs w:val="28"/>
        </w:rPr>
        <w:t>iability in the expert’s field.</w:t>
      </w:r>
    </w:p>
    <w:p w14:paraId="5543AD41" w14:textId="77777777" w:rsidR="00C0697F" w:rsidRPr="001630CB" w:rsidRDefault="00C0697F" w:rsidP="001A535B">
      <w:pPr>
        <w:widowControl/>
        <w:tabs>
          <w:tab w:val="left" w:pos="1152"/>
          <w:tab w:val="left" w:pos="1872"/>
          <w:tab w:val="left" w:pos="2592"/>
          <w:tab w:val="left" w:pos="3312"/>
          <w:tab w:val="left" w:pos="4032"/>
          <w:tab w:val="left" w:pos="4752"/>
          <w:tab w:val="left" w:pos="5472"/>
          <w:tab w:val="left" w:pos="6192"/>
          <w:tab w:val="left" w:pos="6912"/>
          <w:tab w:val="left" w:pos="7630"/>
        </w:tabs>
        <w:spacing w:line="276" w:lineRule="auto"/>
        <w:ind w:right="720"/>
        <w:jc w:val="both"/>
        <w:rPr>
          <w:b/>
          <w:bCs/>
          <w:sz w:val="28"/>
          <w:szCs w:val="28"/>
        </w:rPr>
      </w:pPr>
    </w:p>
    <w:p w14:paraId="205A7F24" w14:textId="0BAC804C" w:rsidR="00C0697F" w:rsidRPr="001630CB" w:rsidRDefault="00C0697F" w:rsidP="001D3724">
      <w:pPr>
        <w:widowControl/>
        <w:tabs>
          <w:tab w:val="left" w:pos="1872"/>
          <w:tab w:val="left" w:pos="2592"/>
          <w:tab w:val="left" w:pos="3312"/>
          <w:tab w:val="left" w:pos="4032"/>
          <w:tab w:val="left" w:pos="4752"/>
          <w:tab w:val="left" w:pos="5472"/>
          <w:tab w:val="left" w:pos="6192"/>
          <w:tab w:val="left" w:pos="6912"/>
          <w:tab w:val="left" w:pos="7630"/>
        </w:tabs>
        <w:spacing w:line="276" w:lineRule="auto"/>
        <w:ind w:left="1260" w:right="720" w:hanging="540"/>
        <w:jc w:val="both"/>
        <w:rPr>
          <w:b/>
          <w:bCs/>
          <w:sz w:val="28"/>
          <w:szCs w:val="28"/>
        </w:rPr>
      </w:pPr>
      <w:r w:rsidRPr="001630CB">
        <w:rPr>
          <w:b/>
          <w:bCs/>
          <w:sz w:val="28"/>
          <w:szCs w:val="28"/>
        </w:rPr>
        <w:t>(5) (a) Unless the court orders otherwise, questions calling for the opinion of an expert witness need not be hypothetical in form</w:t>
      </w:r>
      <w:r w:rsidR="00A25F87" w:rsidRPr="001630CB">
        <w:rPr>
          <w:b/>
          <w:bCs/>
          <w:sz w:val="28"/>
          <w:szCs w:val="28"/>
        </w:rPr>
        <w:t xml:space="preserve">. </w:t>
      </w:r>
      <w:r w:rsidRPr="001630CB">
        <w:rPr>
          <w:b/>
          <w:bCs/>
          <w:sz w:val="28"/>
          <w:szCs w:val="28"/>
        </w:rPr>
        <w:t>The expert may base an opinion on facts in the record or known to the witness, and the expert may state an opinion and reasons without first specifying the data upon which it is based; however, an expert who relies on facts within personal knowledge that are not contained in the record is required to testify to those facts prior to rendering the opinion.</w:t>
      </w:r>
    </w:p>
    <w:p w14:paraId="4ACC4A77" w14:textId="77777777" w:rsidR="00C0697F" w:rsidRPr="001630CB" w:rsidRDefault="00C0697F" w:rsidP="001A535B">
      <w:pPr>
        <w:pStyle w:val="ListParagra"/>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after="0" w:line="276" w:lineRule="auto"/>
        <w:ind w:left="0"/>
        <w:rPr>
          <w:rFonts w:ascii="Times New Roman" w:hAnsi="Times New Roman" w:cs="Times New Roman"/>
          <w:b/>
          <w:bCs/>
          <w:sz w:val="28"/>
          <w:szCs w:val="28"/>
        </w:rPr>
      </w:pPr>
    </w:p>
    <w:p w14:paraId="1A518E86" w14:textId="77777777" w:rsidR="00156040" w:rsidRPr="001630CB" w:rsidRDefault="00C0697F" w:rsidP="001A535B">
      <w:pPr>
        <w:pStyle w:val="ListParagra"/>
        <w:widowControl/>
        <w:tabs>
          <w:tab w:val="left" w:pos="2160"/>
          <w:tab w:val="left" w:pos="2880"/>
          <w:tab w:val="left" w:pos="3600"/>
          <w:tab w:val="left" w:pos="4320"/>
          <w:tab w:val="left" w:pos="5040"/>
          <w:tab w:val="left" w:pos="5760"/>
          <w:tab w:val="left" w:pos="6480"/>
          <w:tab w:val="left" w:pos="7198"/>
        </w:tabs>
        <w:spacing w:after="0" w:line="276" w:lineRule="auto"/>
        <w:ind w:left="1260" w:right="720"/>
        <w:rPr>
          <w:rFonts w:ascii="Times New Roman" w:hAnsi="Times New Roman" w:cs="Times New Roman"/>
          <w:b/>
          <w:bCs/>
          <w:sz w:val="28"/>
          <w:szCs w:val="28"/>
        </w:rPr>
      </w:pPr>
      <w:r w:rsidRPr="001630CB">
        <w:rPr>
          <w:rFonts w:ascii="Times New Roman" w:hAnsi="Times New Roman" w:cs="Times New Roman"/>
          <w:b/>
          <w:bCs/>
          <w:sz w:val="28"/>
          <w:szCs w:val="28"/>
        </w:rPr>
        <w:t>(b) An expert also may rely on out-of-court material if:</w:t>
      </w:r>
    </w:p>
    <w:p w14:paraId="45D5759C" w14:textId="70C4FBFF" w:rsidR="006962A4" w:rsidRPr="001630CB" w:rsidRDefault="006962A4" w:rsidP="001A535B">
      <w:pPr>
        <w:pStyle w:val="ListParagra"/>
        <w:widowControl/>
        <w:tabs>
          <w:tab w:val="left" w:pos="720"/>
          <w:tab w:val="left" w:pos="1440"/>
          <w:tab w:val="left" w:pos="2160"/>
          <w:tab w:val="left" w:pos="2880"/>
          <w:tab w:val="left" w:pos="3600"/>
          <w:tab w:val="left" w:pos="4320"/>
          <w:tab w:val="left" w:pos="5040"/>
          <w:tab w:val="left" w:pos="5760"/>
          <w:tab w:val="left" w:pos="6480"/>
          <w:tab w:val="left" w:pos="7198"/>
        </w:tabs>
        <w:spacing w:after="0" w:line="276" w:lineRule="auto"/>
        <w:ind w:left="0" w:right="720"/>
        <w:rPr>
          <w:rFonts w:ascii="Times New Roman" w:hAnsi="Times New Roman" w:cs="Times New Roman"/>
          <w:b/>
          <w:bCs/>
          <w:sz w:val="28"/>
          <w:szCs w:val="28"/>
        </w:rPr>
      </w:pPr>
    </w:p>
    <w:p w14:paraId="682D61D8" w14:textId="56BE6733" w:rsidR="00C0697F" w:rsidRPr="001630CB" w:rsidRDefault="00C0697F" w:rsidP="001A535B">
      <w:pPr>
        <w:pStyle w:val="ListParagra"/>
        <w:widowControl/>
        <w:tabs>
          <w:tab w:val="left" w:pos="2160"/>
          <w:tab w:val="left" w:pos="2880"/>
          <w:tab w:val="left" w:pos="3600"/>
          <w:tab w:val="left" w:pos="4320"/>
          <w:tab w:val="left" w:pos="5040"/>
          <w:tab w:val="left" w:pos="5760"/>
          <w:tab w:val="left" w:pos="6480"/>
          <w:tab w:val="left" w:pos="7198"/>
        </w:tabs>
        <w:spacing w:after="0" w:line="276" w:lineRule="auto"/>
        <w:ind w:left="1800" w:right="720"/>
        <w:rPr>
          <w:rFonts w:ascii="Times New Roman" w:hAnsi="Times New Roman" w:cs="Times New Roman"/>
          <w:b/>
          <w:bCs/>
          <w:sz w:val="28"/>
          <w:szCs w:val="28"/>
        </w:rPr>
      </w:pPr>
      <w:r w:rsidRPr="001630CB">
        <w:rPr>
          <w:rFonts w:ascii="Times New Roman" w:hAnsi="Times New Roman" w:cs="Times New Roman"/>
          <w:b/>
          <w:bCs/>
          <w:sz w:val="28"/>
          <w:szCs w:val="28"/>
        </w:rPr>
        <w:t>(i) it is of a kind accepted in the profession as reliable in forming a professional opinion, provided that there is evidence establishing the reliability of the out-of-court material</w:t>
      </w:r>
      <w:r w:rsidR="00717219" w:rsidRPr="001630CB">
        <w:rPr>
          <w:rFonts w:ascii="Times New Roman" w:hAnsi="Times New Roman" w:cs="Times New Roman"/>
          <w:b/>
          <w:bCs/>
          <w:sz w:val="28"/>
          <w:szCs w:val="28"/>
        </w:rPr>
        <w:t>;</w:t>
      </w:r>
      <w:r w:rsidR="00A517C6" w:rsidRPr="001630CB">
        <w:rPr>
          <w:rFonts w:ascii="Times New Roman" w:hAnsi="Times New Roman" w:cs="Times New Roman"/>
          <w:b/>
          <w:bCs/>
          <w:sz w:val="28"/>
          <w:szCs w:val="28"/>
        </w:rPr>
        <w:t xml:space="preserve"> or the out-of-court material </w:t>
      </w:r>
      <w:r w:rsidRPr="001630CB">
        <w:rPr>
          <w:rFonts w:ascii="Times New Roman" w:hAnsi="Times New Roman" w:cs="Times New Roman"/>
          <w:b/>
          <w:bCs/>
          <w:sz w:val="28"/>
          <w:szCs w:val="28"/>
        </w:rPr>
        <w:t xml:space="preserve">comes from a witness </w:t>
      </w:r>
      <w:r w:rsidR="00657486" w:rsidRPr="001630CB">
        <w:rPr>
          <w:rFonts w:ascii="Times New Roman" w:hAnsi="Times New Roman" w:cs="Times New Roman"/>
          <w:b/>
          <w:bCs/>
          <w:sz w:val="28"/>
          <w:szCs w:val="28"/>
        </w:rPr>
        <w:t>in the proceeding who was</w:t>
      </w:r>
      <w:r w:rsidR="00BB6258" w:rsidRPr="001630CB">
        <w:rPr>
          <w:rFonts w:ascii="Times New Roman" w:hAnsi="Times New Roman" w:cs="Times New Roman"/>
          <w:b/>
          <w:bCs/>
          <w:sz w:val="28"/>
          <w:szCs w:val="28"/>
        </w:rPr>
        <w:t xml:space="preserve"> </w:t>
      </w:r>
      <w:r w:rsidRPr="001630CB">
        <w:rPr>
          <w:rFonts w:ascii="Times New Roman" w:hAnsi="Times New Roman" w:cs="Times New Roman"/>
          <w:b/>
          <w:bCs/>
          <w:sz w:val="28"/>
          <w:szCs w:val="28"/>
        </w:rPr>
        <w:t>subject to full cross-examination by the opposing party</w:t>
      </w:r>
      <w:r w:rsidR="00717219" w:rsidRPr="001630CB">
        <w:rPr>
          <w:rFonts w:ascii="Times New Roman" w:hAnsi="Times New Roman" w:cs="Times New Roman"/>
          <w:b/>
          <w:bCs/>
          <w:sz w:val="28"/>
          <w:szCs w:val="28"/>
        </w:rPr>
        <w:t>; and</w:t>
      </w:r>
    </w:p>
    <w:p w14:paraId="5ECE74C3" w14:textId="77777777" w:rsidR="000B63EA" w:rsidRPr="001630CB" w:rsidRDefault="000B63EA" w:rsidP="001A535B">
      <w:pPr>
        <w:pStyle w:val="ListParagra"/>
        <w:widowControl/>
        <w:tabs>
          <w:tab w:val="left" w:pos="2160"/>
          <w:tab w:val="left" w:pos="2880"/>
          <w:tab w:val="left" w:pos="3600"/>
          <w:tab w:val="left" w:pos="4320"/>
          <w:tab w:val="left" w:pos="5040"/>
          <w:tab w:val="left" w:pos="5760"/>
          <w:tab w:val="left" w:pos="6480"/>
          <w:tab w:val="left" w:pos="6768"/>
        </w:tabs>
        <w:spacing w:after="0" w:line="276" w:lineRule="auto"/>
        <w:ind w:left="0" w:right="720"/>
        <w:rPr>
          <w:rFonts w:ascii="Times New Roman" w:hAnsi="Times New Roman" w:cs="Times New Roman"/>
          <w:b/>
          <w:bCs/>
          <w:sz w:val="28"/>
          <w:szCs w:val="28"/>
        </w:rPr>
      </w:pPr>
    </w:p>
    <w:p w14:paraId="15BB8C8E" w14:textId="45AEF687" w:rsidR="00BF5CDC" w:rsidRPr="001630CB" w:rsidRDefault="000B63EA" w:rsidP="001A535B">
      <w:pPr>
        <w:pStyle w:val="ListParagra"/>
        <w:tabs>
          <w:tab w:val="left" w:pos="6768"/>
        </w:tabs>
        <w:spacing w:after="0" w:line="276" w:lineRule="auto"/>
        <w:ind w:left="1800" w:right="720"/>
        <w:rPr>
          <w:rFonts w:ascii="Times New Roman" w:hAnsi="Times New Roman" w:cs="Times New Roman"/>
          <w:b/>
          <w:bCs/>
          <w:sz w:val="28"/>
          <w:szCs w:val="28"/>
        </w:rPr>
      </w:pPr>
      <w:r w:rsidRPr="001630CB">
        <w:rPr>
          <w:rFonts w:ascii="Times New Roman" w:hAnsi="Times New Roman" w:cs="Times New Roman"/>
          <w:b/>
          <w:bCs/>
          <w:sz w:val="28"/>
          <w:szCs w:val="28"/>
        </w:rPr>
        <w:t xml:space="preserve">(ii) </w:t>
      </w:r>
      <w:r w:rsidR="00E00B2B" w:rsidRPr="001630CB">
        <w:rPr>
          <w:rFonts w:ascii="Times New Roman" w:hAnsi="Times New Roman" w:cs="Times New Roman"/>
          <w:b/>
          <w:bCs/>
          <w:sz w:val="28"/>
          <w:szCs w:val="28"/>
        </w:rPr>
        <w:t xml:space="preserve">it </w:t>
      </w:r>
      <w:r w:rsidR="00C046AE" w:rsidRPr="001630CB">
        <w:rPr>
          <w:rFonts w:ascii="Times New Roman" w:hAnsi="Times New Roman" w:cs="Times New Roman"/>
          <w:b/>
          <w:bCs/>
          <w:sz w:val="28"/>
          <w:szCs w:val="28"/>
        </w:rPr>
        <w:t>is</w:t>
      </w:r>
      <w:r w:rsidR="00256C77" w:rsidRPr="001630CB">
        <w:rPr>
          <w:rFonts w:ascii="Times New Roman" w:hAnsi="Times New Roman" w:cs="Times New Roman"/>
          <w:b/>
          <w:bCs/>
          <w:sz w:val="28"/>
          <w:szCs w:val="28"/>
        </w:rPr>
        <w:t xml:space="preserve"> a</w:t>
      </w:r>
      <w:r w:rsidR="00C046AE" w:rsidRPr="001630CB">
        <w:rPr>
          <w:rFonts w:ascii="Times New Roman" w:hAnsi="Times New Roman" w:cs="Times New Roman"/>
          <w:b/>
          <w:bCs/>
          <w:sz w:val="28"/>
          <w:szCs w:val="28"/>
        </w:rPr>
        <w:t xml:space="preserve"> </w:t>
      </w:r>
      <w:r w:rsidR="003378E6" w:rsidRPr="001630CB">
        <w:rPr>
          <w:rFonts w:ascii="Times New Roman" w:hAnsi="Times New Roman" w:cs="Times New Roman"/>
          <w:b/>
          <w:bCs/>
          <w:sz w:val="28"/>
          <w:szCs w:val="28"/>
        </w:rPr>
        <w:t xml:space="preserve">link in the chain of data and </w:t>
      </w:r>
      <w:r w:rsidR="001B77F5" w:rsidRPr="001630CB">
        <w:rPr>
          <w:rFonts w:ascii="Times New Roman" w:hAnsi="Times New Roman" w:cs="Times New Roman"/>
          <w:b/>
          <w:bCs/>
          <w:sz w:val="28"/>
          <w:szCs w:val="28"/>
        </w:rPr>
        <w:t>accordingly</w:t>
      </w:r>
      <w:r w:rsidR="00256C77" w:rsidRPr="001630CB">
        <w:rPr>
          <w:rFonts w:ascii="Times New Roman" w:hAnsi="Times New Roman" w:cs="Times New Roman"/>
          <w:b/>
          <w:bCs/>
          <w:sz w:val="28"/>
          <w:szCs w:val="28"/>
        </w:rPr>
        <w:t xml:space="preserve"> </w:t>
      </w:r>
      <w:r w:rsidR="00C046AE" w:rsidRPr="001630CB">
        <w:rPr>
          <w:rFonts w:ascii="Times New Roman" w:hAnsi="Times New Roman" w:cs="Times New Roman"/>
          <w:b/>
          <w:bCs/>
          <w:sz w:val="28"/>
          <w:szCs w:val="28"/>
        </w:rPr>
        <w:t>not exclusively relied upon</w:t>
      </w:r>
      <w:r w:rsidR="00E16937" w:rsidRPr="001630CB">
        <w:rPr>
          <w:rFonts w:ascii="Times New Roman" w:hAnsi="Times New Roman" w:cs="Times New Roman"/>
          <w:b/>
          <w:bCs/>
          <w:sz w:val="28"/>
          <w:szCs w:val="28"/>
        </w:rPr>
        <w:t xml:space="preserve"> for the expert’s opinion.</w:t>
      </w:r>
    </w:p>
    <w:p w14:paraId="64345FEC" w14:textId="77777777" w:rsidR="00BC6C87" w:rsidRPr="001630CB" w:rsidRDefault="00BC6C87" w:rsidP="001A535B">
      <w:pPr>
        <w:pStyle w:val="ListParagra"/>
        <w:tabs>
          <w:tab w:val="left" w:pos="6768"/>
        </w:tabs>
        <w:spacing w:after="0" w:line="276" w:lineRule="auto"/>
        <w:ind w:left="0" w:right="720"/>
        <w:rPr>
          <w:rFonts w:ascii="Times New Roman" w:hAnsi="Times New Roman" w:cs="Times New Roman"/>
          <w:b/>
          <w:bCs/>
          <w:sz w:val="28"/>
          <w:szCs w:val="28"/>
        </w:rPr>
      </w:pPr>
    </w:p>
    <w:p w14:paraId="70FA4712" w14:textId="640D2CC9" w:rsidR="00A2422C" w:rsidRPr="001630CB" w:rsidRDefault="00C0697F" w:rsidP="00B174AE">
      <w:pPr>
        <w:pStyle w:val="ListParagra"/>
        <w:tabs>
          <w:tab w:val="left" w:pos="6768"/>
        </w:tabs>
        <w:spacing w:after="0" w:line="276" w:lineRule="auto"/>
        <w:ind w:left="1260" w:right="720"/>
        <w:rPr>
          <w:rFonts w:ascii="Times New Roman" w:hAnsi="Times New Roman" w:cs="Times New Roman"/>
          <w:b/>
          <w:bCs/>
          <w:sz w:val="28"/>
          <w:szCs w:val="28"/>
        </w:rPr>
      </w:pPr>
      <w:r w:rsidRPr="001630CB">
        <w:rPr>
          <w:rFonts w:ascii="Times New Roman" w:hAnsi="Times New Roman" w:cs="Times New Roman"/>
          <w:b/>
          <w:bCs/>
          <w:sz w:val="28"/>
          <w:szCs w:val="28"/>
        </w:rPr>
        <w:t xml:space="preserve">(c) In a criminal </w:t>
      </w:r>
      <w:r w:rsidR="00E451D4" w:rsidRPr="001D567A">
        <w:rPr>
          <w:rFonts w:ascii="Times New Roman" w:hAnsi="Times New Roman" w:cs="Times New Roman"/>
          <w:b/>
          <w:bCs/>
          <w:sz w:val="28"/>
          <w:szCs w:val="28"/>
        </w:rPr>
        <w:t>proceeding</w:t>
      </w:r>
      <w:r w:rsidRPr="001D567A">
        <w:rPr>
          <w:rFonts w:ascii="Times New Roman" w:hAnsi="Times New Roman" w:cs="Times New Roman"/>
          <w:b/>
          <w:bCs/>
          <w:sz w:val="28"/>
          <w:szCs w:val="28"/>
        </w:rPr>
        <w:t xml:space="preserve">, while an expert may rely upon hearsay statements in formulating an opinion, the constitutional right of confrontation precludes the expert from testifying on direct examination to a </w:t>
      </w:r>
      <w:r w:rsidR="00481EF1" w:rsidRPr="001D567A">
        <w:rPr>
          <w:rFonts w:ascii="Times New Roman" w:hAnsi="Times New Roman" w:cs="Times New Roman"/>
          <w:b/>
          <w:bCs/>
          <w:sz w:val="28"/>
          <w:szCs w:val="28"/>
        </w:rPr>
        <w:t xml:space="preserve">testimonial </w:t>
      </w:r>
      <w:r w:rsidRPr="001D567A">
        <w:rPr>
          <w:rFonts w:ascii="Times New Roman" w:hAnsi="Times New Roman" w:cs="Times New Roman"/>
          <w:b/>
          <w:bCs/>
          <w:sz w:val="28"/>
          <w:szCs w:val="28"/>
        </w:rPr>
        <w:t xml:space="preserve">statement </w:t>
      </w:r>
      <w:r w:rsidRPr="001630CB">
        <w:rPr>
          <w:rFonts w:ascii="Times New Roman" w:hAnsi="Times New Roman" w:cs="Times New Roman"/>
          <w:b/>
          <w:bCs/>
          <w:sz w:val="28"/>
          <w:szCs w:val="28"/>
        </w:rPr>
        <w:t xml:space="preserve">made by a </w:t>
      </w:r>
      <w:r w:rsidRPr="001630CB">
        <w:rPr>
          <w:rFonts w:ascii="Times New Roman" w:hAnsi="Times New Roman" w:cs="Times New Roman"/>
          <w:b/>
          <w:bCs/>
          <w:sz w:val="28"/>
          <w:szCs w:val="28"/>
        </w:rPr>
        <w:lastRenderedPageBreak/>
        <w:t>person who was not available for cross-examination.</w:t>
      </w:r>
      <w:r w:rsidR="00FE3AE4" w:rsidRPr="001630CB">
        <w:rPr>
          <w:rFonts w:ascii="Times New Roman" w:hAnsi="Times New Roman" w:cs="Times New Roman"/>
          <w:b/>
          <w:bCs/>
          <w:sz w:val="28"/>
          <w:szCs w:val="28"/>
        </w:rPr>
        <w:t xml:space="preserve">  </w:t>
      </w:r>
    </w:p>
    <w:p w14:paraId="32F22F25" w14:textId="63C60738" w:rsidR="00A30900" w:rsidRPr="001630CB" w:rsidRDefault="00A30900" w:rsidP="001A535B">
      <w:pPr>
        <w:pStyle w:val="ListParagra"/>
        <w:tabs>
          <w:tab w:val="left" w:pos="6768"/>
        </w:tabs>
        <w:spacing w:after="0" w:line="276" w:lineRule="auto"/>
        <w:ind w:left="1260" w:right="720"/>
        <w:rPr>
          <w:rFonts w:ascii="Times New Roman" w:hAnsi="Times New Roman" w:cs="Times New Roman"/>
          <w:b/>
          <w:bCs/>
          <w:sz w:val="28"/>
          <w:szCs w:val="28"/>
        </w:rPr>
      </w:pPr>
    </w:p>
    <w:p w14:paraId="042557C4" w14:textId="4E23E9A1" w:rsidR="0072769C" w:rsidRPr="001630CB" w:rsidRDefault="0072769C" w:rsidP="001A535B">
      <w:pPr>
        <w:widowControl/>
        <w:tabs>
          <w:tab w:val="left" w:pos="1872"/>
          <w:tab w:val="left" w:pos="2592"/>
          <w:tab w:val="left" w:pos="3312"/>
          <w:tab w:val="left" w:pos="4032"/>
          <w:tab w:val="left" w:pos="4752"/>
          <w:tab w:val="left" w:pos="5472"/>
          <w:tab w:val="left" w:pos="6192"/>
          <w:tab w:val="left" w:pos="6910"/>
        </w:tabs>
        <w:spacing w:line="276" w:lineRule="auto"/>
        <w:ind w:left="1260" w:right="720"/>
        <w:jc w:val="both"/>
        <w:rPr>
          <w:b/>
          <w:bCs/>
          <w:sz w:val="28"/>
          <w:szCs w:val="28"/>
        </w:rPr>
      </w:pPr>
      <w:r w:rsidRPr="001630CB">
        <w:rPr>
          <w:b/>
          <w:bCs/>
          <w:sz w:val="28"/>
          <w:szCs w:val="28"/>
        </w:rPr>
        <w:t>(</w:t>
      </w:r>
      <w:r w:rsidR="007F30D4" w:rsidRPr="001630CB">
        <w:rPr>
          <w:b/>
          <w:bCs/>
          <w:sz w:val="28"/>
          <w:szCs w:val="28"/>
        </w:rPr>
        <w:t>d</w:t>
      </w:r>
      <w:r w:rsidRPr="001630CB">
        <w:rPr>
          <w:b/>
          <w:bCs/>
          <w:sz w:val="28"/>
          <w:szCs w:val="28"/>
        </w:rPr>
        <w:t>)</w:t>
      </w:r>
      <w:r w:rsidR="00767D43" w:rsidRPr="001630CB">
        <w:rPr>
          <w:b/>
          <w:bCs/>
          <w:sz w:val="28"/>
          <w:szCs w:val="28"/>
        </w:rPr>
        <w:t xml:space="preserve"> </w:t>
      </w:r>
      <w:r w:rsidR="009171AD" w:rsidRPr="001D567A">
        <w:rPr>
          <w:b/>
          <w:bCs/>
          <w:sz w:val="28"/>
          <w:szCs w:val="28"/>
        </w:rPr>
        <w:t>In a civil proceeding, unde</w:t>
      </w:r>
      <w:r w:rsidR="001D549B" w:rsidRPr="001D567A">
        <w:rPr>
          <w:b/>
          <w:bCs/>
          <w:sz w:val="28"/>
          <w:szCs w:val="28"/>
        </w:rPr>
        <w:t>r the</w:t>
      </w:r>
      <w:r w:rsidR="009171AD" w:rsidRPr="001D567A">
        <w:rPr>
          <w:b/>
          <w:bCs/>
          <w:sz w:val="28"/>
          <w:szCs w:val="28"/>
        </w:rPr>
        <w:t xml:space="preserve"> sex offender civil management statute (Mental Hygiene Law art 10)</w:t>
      </w:r>
      <w:r w:rsidRPr="001D567A">
        <w:rPr>
          <w:b/>
          <w:bCs/>
          <w:sz w:val="28"/>
          <w:szCs w:val="28"/>
        </w:rPr>
        <w:t xml:space="preserve">, an </w:t>
      </w:r>
      <w:r w:rsidRPr="001630CB">
        <w:rPr>
          <w:b/>
          <w:bCs/>
          <w:sz w:val="28"/>
          <w:szCs w:val="28"/>
        </w:rPr>
        <w:t>expert may testify to hearsay offered to explain the basis of the expert’s opinion when the proponent demonstrates through evidence that the hearsay is reliable and that its probative value in helping the jury evaluate the expert’s opinion substantially outweighs its prejudicial effect.</w:t>
      </w:r>
    </w:p>
    <w:p w14:paraId="20449678" w14:textId="77777777" w:rsidR="00EB2CA2" w:rsidRPr="001630CB" w:rsidRDefault="00EB2CA2" w:rsidP="001A535B">
      <w:pPr>
        <w:pStyle w:val="ListParagra"/>
        <w:widowControl/>
        <w:tabs>
          <w:tab w:val="left" w:pos="1440"/>
          <w:tab w:val="left" w:pos="2160"/>
          <w:tab w:val="left" w:pos="2880"/>
          <w:tab w:val="left" w:pos="3600"/>
          <w:tab w:val="left" w:pos="4320"/>
          <w:tab w:val="left" w:pos="5040"/>
          <w:tab w:val="left" w:pos="5760"/>
          <w:tab w:val="left" w:pos="6480"/>
        </w:tabs>
        <w:spacing w:after="0" w:line="276" w:lineRule="auto"/>
        <w:ind w:left="1260" w:right="720"/>
        <w:rPr>
          <w:rFonts w:ascii="Times New Roman" w:hAnsi="Times New Roman" w:cs="Times New Roman"/>
          <w:b/>
          <w:bCs/>
          <w:sz w:val="28"/>
          <w:szCs w:val="28"/>
        </w:rPr>
      </w:pPr>
    </w:p>
    <w:p w14:paraId="2EA9AB9F" w14:textId="52C6A77E" w:rsidR="00C0697F" w:rsidRPr="001630CB" w:rsidRDefault="008F5D45" w:rsidP="00EB2CA2">
      <w:pPr>
        <w:pStyle w:val="ListParagra"/>
        <w:widowControl/>
        <w:tabs>
          <w:tab w:val="left" w:pos="1440"/>
          <w:tab w:val="left" w:pos="2160"/>
          <w:tab w:val="left" w:pos="2880"/>
          <w:tab w:val="left" w:pos="3600"/>
          <w:tab w:val="left" w:pos="4320"/>
          <w:tab w:val="left" w:pos="5040"/>
          <w:tab w:val="left" w:pos="5760"/>
          <w:tab w:val="left" w:pos="6480"/>
        </w:tabs>
        <w:spacing w:after="0" w:line="276" w:lineRule="auto"/>
        <w:ind w:right="720"/>
        <w:rPr>
          <w:rFonts w:ascii="Times New Roman" w:hAnsi="Times New Roman" w:cs="Times New Roman"/>
          <w:b/>
          <w:bCs/>
          <w:sz w:val="28"/>
          <w:szCs w:val="28"/>
        </w:rPr>
      </w:pPr>
      <w:r w:rsidRPr="001D567A">
        <w:rPr>
          <w:rFonts w:ascii="Times New Roman" w:hAnsi="Times New Roman" w:cs="Times New Roman"/>
          <w:b/>
          <w:bCs/>
          <w:sz w:val="28"/>
          <w:szCs w:val="28"/>
        </w:rPr>
        <w:t xml:space="preserve">(6) Psychiatric </w:t>
      </w:r>
      <w:r w:rsidR="00054F04" w:rsidRPr="001D567A">
        <w:rPr>
          <w:rFonts w:ascii="Times New Roman" w:hAnsi="Times New Roman" w:cs="Times New Roman"/>
          <w:b/>
          <w:bCs/>
          <w:sz w:val="28"/>
          <w:szCs w:val="28"/>
        </w:rPr>
        <w:t>t</w:t>
      </w:r>
      <w:r w:rsidRPr="001D567A">
        <w:rPr>
          <w:rFonts w:ascii="Times New Roman" w:hAnsi="Times New Roman" w:cs="Times New Roman"/>
          <w:b/>
          <w:bCs/>
          <w:sz w:val="28"/>
          <w:szCs w:val="28"/>
        </w:rPr>
        <w:t>estimony</w:t>
      </w:r>
      <w:r w:rsidR="00655496" w:rsidRPr="001D567A">
        <w:rPr>
          <w:rFonts w:ascii="Times New Roman" w:hAnsi="Times New Roman" w:cs="Times New Roman"/>
          <w:b/>
          <w:bCs/>
          <w:sz w:val="28"/>
          <w:szCs w:val="28"/>
        </w:rPr>
        <w:t xml:space="preserve"> in </w:t>
      </w:r>
      <w:r w:rsidR="00054F04" w:rsidRPr="001D567A">
        <w:rPr>
          <w:rFonts w:ascii="Times New Roman" w:hAnsi="Times New Roman" w:cs="Times New Roman"/>
          <w:b/>
          <w:bCs/>
          <w:sz w:val="28"/>
          <w:szCs w:val="28"/>
        </w:rPr>
        <w:t>c</w:t>
      </w:r>
      <w:r w:rsidR="00655496" w:rsidRPr="001D567A">
        <w:rPr>
          <w:rFonts w:ascii="Times New Roman" w:hAnsi="Times New Roman" w:cs="Times New Roman"/>
          <w:b/>
          <w:bCs/>
          <w:sz w:val="28"/>
          <w:szCs w:val="28"/>
        </w:rPr>
        <w:t xml:space="preserve">ertain </w:t>
      </w:r>
      <w:r w:rsidR="00054F04" w:rsidRPr="001D567A">
        <w:rPr>
          <w:rFonts w:ascii="Times New Roman" w:hAnsi="Times New Roman" w:cs="Times New Roman"/>
          <w:b/>
          <w:bCs/>
          <w:sz w:val="28"/>
          <w:szCs w:val="28"/>
        </w:rPr>
        <w:t>c</w:t>
      </w:r>
      <w:r w:rsidR="00655496" w:rsidRPr="001D567A">
        <w:rPr>
          <w:rFonts w:ascii="Times New Roman" w:hAnsi="Times New Roman" w:cs="Times New Roman"/>
          <w:b/>
          <w:bCs/>
          <w:sz w:val="28"/>
          <w:szCs w:val="28"/>
        </w:rPr>
        <w:t>ase</w:t>
      </w:r>
      <w:r w:rsidR="00054F04" w:rsidRPr="001D567A">
        <w:rPr>
          <w:rFonts w:ascii="Times New Roman" w:hAnsi="Times New Roman" w:cs="Times New Roman"/>
          <w:b/>
          <w:bCs/>
          <w:sz w:val="28"/>
          <w:szCs w:val="28"/>
        </w:rPr>
        <w:t>s</w:t>
      </w:r>
      <w:r w:rsidR="00E16A6A" w:rsidRPr="001D567A">
        <w:rPr>
          <w:rFonts w:ascii="Times New Roman" w:hAnsi="Times New Roman" w:cs="Times New Roman"/>
          <w:b/>
          <w:bCs/>
          <w:sz w:val="28"/>
          <w:szCs w:val="28"/>
        </w:rPr>
        <w:t>.</w:t>
      </w:r>
      <w:r w:rsidR="00423E74" w:rsidRPr="001D567A">
        <w:rPr>
          <w:rFonts w:ascii="Times New Roman" w:hAnsi="Times New Roman" w:cs="Times New Roman"/>
          <w:b/>
          <w:bCs/>
          <w:sz w:val="28"/>
          <w:szCs w:val="28"/>
        </w:rPr>
        <w:t xml:space="preserve"> </w:t>
      </w:r>
      <w:r w:rsidR="00C0697F" w:rsidRPr="001630CB">
        <w:rPr>
          <w:rFonts w:ascii="Times New Roman" w:hAnsi="Times New Roman" w:cs="Times New Roman"/>
          <w:b/>
          <w:bCs/>
          <w:sz w:val="28"/>
          <w:szCs w:val="28"/>
        </w:rPr>
        <w:t>(CPL 60.55)</w:t>
      </w:r>
    </w:p>
    <w:p w14:paraId="3E29B24D" w14:textId="77777777" w:rsidR="006962A4" w:rsidRPr="001630CB" w:rsidRDefault="006962A4" w:rsidP="001A535B">
      <w:pPr>
        <w:pStyle w:val="ListParagra"/>
        <w:widowControl/>
        <w:tabs>
          <w:tab w:val="left" w:pos="1440"/>
          <w:tab w:val="left" w:pos="2160"/>
          <w:tab w:val="left" w:pos="2880"/>
          <w:tab w:val="left" w:pos="3600"/>
          <w:tab w:val="left" w:pos="4320"/>
          <w:tab w:val="left" w:pos="5040"/>
          <w:tab w:val="left" w:pos="5760"/>
          <w:tab w:val="left" w:pos="6480"/>
          <w:tab w:val="left" w:pos="7056"/>
        </w:tabs>
        <w:spacing w:after="0" w:line="276" w:lineRule="auto"/>
        <w:ind w:left="0" w:right="864"/>
        <w:rPr>
          <w:rFonts w:ascii="Times New Roman" w:hAnsi="Times New Roman" w:cs="Times New Roman"/>
          <w:b/>
          <w:bCs/>
          <w:sz w:val="28"/>
          <w:szCs w:val="28"/>
        </w:rPr>
      </w:pPr>
    </w:p>
    <w:p w14:paraId="60AA0F02" w14:textId="1082FE8C" w:rsidR="00C0697F" w:rsidRPr="001630CB" w:rsidRDefault="00CE5DEE" w:rsidP="006F34EE">
      <w:pPr>
        <w:pStyle w:val="ListParagra"/>
        <w:widowControl/>
        <w:tabs>
          <w:tab w:val="left" w:pos="2160"/>
          <w:tab w:val="left" w:pos="2880"/>
          <w:tab w:val="left" w:pos="3600"/>
          <w:tab w:val="left" w:pos="4320"/>
          <w:tab w:val="left" w:pos="5040"/>
          <w:tab w:val="left" w:pos="5760"/>
          <w:tab w:val="left" w:pos="6480"/>
        </w:tabs>
        <w:spacing w:after="0" w:line="276" w:lineRule="auto"/>
        <w:ind w:left="1260" w:right="720"/>
        <w:rPr>
          <w:rFonts w:ascii="Times New Roman" w:hAnsi="Times New Roman" w:cs="Times New Roman"/>
          <w:b/>
          <w:bCs/>
          <w:sz w:val="28"/>
          <w:szCs w:val="28"/>
        </w:rPr>
      </w:pPr>
      <w:r w:rsidRPr="001D567A">
        <w:rPr>
          <w:rFonts w:ascii="Times New Roman" w:hAnsi="Times New Roman" w:cs="Times New Roman"/>
          <w:b/>
          <w:bCs/>
          <w:sz w:val="28"/>
          <w:szCs w:val="28"/>
        </w:rPr>
        <w:t xml:space="preserve">(a) </w:t>
      </w:r>
      <w:r w:rsidR="00C0697F" w:rsidRPr="001D567A">
        <w:rPr>
          <w:rFonts w:ascii="Times New Roman" w:hAnsi="Times New Roman" w:cs="Times New Roman"/>
          <w:b/>
          <w:bCs/>
          <w:sz w:val="28"/>
          <w:szCs w:val="28"/>
        </w:rPr>
        <w:t xml:space="preserve">When, </w:t>
      </w:r>
      <w:r w:rsidR="00C0697F" w:rsidRPr="001630CB">
        <w:rPr>
          <w:rFonts w:ascii="Times New Roman" w:hAnsi="Times New Roman" w:cs="Times New Roman"/>
          <w:b/>
          <w:bCs/>
          <w:sz w:val="28"/>
          <w:szCs w:val="28"/>
        </w:rPr>
        <w:t>in connection with the affirmative defense of lack of criminal responsibility by reason of mental disease or defect, a psychiatrist or licensed psychologist testifies at a</w:t>
      </w:r>
      <w:r w:rsidR="00F8714D" w:rsidRPr="001630CB">
        <w:rPr>
          <w:rFonts w:ascii="Times New Roman" w:hAnsi="Times New Roman" w:cs="Times New Roman"/>
          <w:b/>
          <w:bCs/>
          <w:sz w:val="28"/>
          <w:szCs w:val="28"/>
        </w:rPr>
        <w:t xml:space="preserve"> trial concerning the defendant’</w:t>
      </w:r>
      <w:r w:rsidR="00C0697F" w:rsidRPr="001630CB">
        <w:rPr>
          <w:rFonts w:ascii="Times New Roman" w:hAnsi="Times New Roman" w:cs="Times New Roman"/>
          <w:b/>
          <w:bCs/>
          <w:sz w:val="28"/>
          <w:szCs w:val="28"/>
        </w:rPr>
        <w:t>s mental condition at the time of the conduct charged to constitute a crime, he [or she] must be permitted to make a statement as to the nature of any examination of the defendant, the diagnosis of the mental condition of the defendant and his [or her] opinion as to the extent, if any, to which the capacity of the defendant to know or appreciate the nature and consequence of such conduct, or its wrongfulness, was impaired as a result of mental disease or defect at that time. The psychiatrist or licensed psychologist must be permitted to make any explanation reasonably serving to clarify his [or her] diagnosis and opinion, and may be cross-examined as to any matter bearing on his [or her] competency or credibility or the validity of his</w:t>
      </w:r>
      <w:r w:rsidR="00F75B67" w:rsidRPr="001630CB">
        <w:rPr>
          <w:rFonts w:ascii="Times New Roman" w:hAnsi="Times New Roman" w:cs="Times New Roman"/>
          <w:b/>
          <w:bCs/>
          <w:sz w:val="28"/>
          <w:szCs w:val="28"/>
        </w:rPr>
        <w:t xml:space="preserve"> </w:t>
      </w:r>
      <w:r w:rsidR="006B1A37" w:rsidRPr="001630CB">
        <w:rPr>
          <w:rFonts w:ascii="Times New Roman" w:hAnsi="Times New Roman" w:cs="Times New Roman"/>
          <w:b/>
          <w:bCs/>
          <w:sz w:val="28"/>
          <w:szCs w:val="28"/>
        </w:rPr>
        <w:t>[</w:t>
      </w:r>
      <w:r w:rsidR="00F75B67" w:rsidRPr="001630CB">
        <w:rPr>
          <w:rFonts w:ascii="Times New Roman" w:hAnsi="Times New Roman" w:cs="Times New Roman"/>
          <w:b/>
          <w:bCs/>
          <w:sz w:val="28"/>
          <w:szCs w:val="28"/>
        </w:rPr>
        <w:t>or her]</w:t>
      </w:r>
      <w:r w:rsidR="00C0697F" w:rsidRPr="001630CB">
        <w:rPr>
          <w:rFonts w:ascii="Times New Roman" w:hAnsi="Times New Roman" w:cs="Times New Roman"/>
          <w:b/>
          <w:bCs/>
          <w:sz w:val="28"/>
          <w:szCs w:val="28"/>
        </w:rPr>
        <w:t xml:space="preserve"> diagnosis or opinion.</w:t>
      </w:r>
    </w:p>
    <w:p w14:paraId="770EB429" w14:textId="77777777" w:rsidR="006962A4" w:rsidRPr="001630CB" w:rsidRDefault="006962A4" w:rsidP="001A535B">
      <w:pPr>
        <w:pStyle w:val="ListParagra"/>
        <w:widowControl/>
        <w:tabs>
          <w:tab w:val="left" w:pos="1440"/>
          <w:tab w:val="left" w:pos="2160"/>
          <w:tab w:val="left" w:pos="2880"/>
          <w:tab w:val="left" w:pos="3600"/>
          <w:tab w:val="left" w:pos="4320"/>
          <w:tab w:val="left" w:pos="5040"/>
          <w:tab w:val="left" w:pos="5760"/>
          <w:tab w:val="left" w:pos="6480"/>
          <w:tab w:val="left" w:pos="7198"/>
        </w:tabs>
        <w:spacing w:after="0" w:line="276" w:lineRule="auto"/>
        <w:ind w:left="0" w:right="720"/>
        <w:rPr>
          <w:rFonts w:ascii="Times New Roman" w:hAnsi="Times New Roman" w:cs="Times New Roman"/>
          <w:b/>
          <w:bCs/>
          <w:sz w:val="28"/>
          <w:szCs w:val="28"/>
        </w:rPr>
      </w:pPr>
    </w:p>
    <w:p w14:paraId="0A229371" w14:textId="52A1ED7F" w:rsidR="00C0697F" w:rsidRPr="001630CB" w:rsidRDefault="00CE5DEE" w:rsidP="006F34EE">
      <w:pPr>
        <w:pStyle w:val="ListParagra"/>
        <w:widowControl/>
        <w:tabs>
          <w:tab w:val="left" w:pos="2160"/>
          <w:tab w:val="left" w:pos="2880"/>
          <w:tab w:val="left" w:pos="3600"/>
          <w:tab w:val="left" w:pos="4320"/>
          <w:tab w:val="left" w:pos="5040"/>
          <w:tab w:val="left" w:pos="5760"/>
          <w:tab w:val="left" w:pos="6480"/>
          <w:tab w:val="left" w:pos="7198"/>
        </w:tabs>
        <w:spacing w:after="0" w:line="276" w:lineRule="auto"/>
        <w:ind w:left="1260" w:right="720"/>
        <w:rPr>
          <w:rFonts w:ascii="Times New Roman" w:hAnsi="Times New Roman" w:cs="Times New Roman"/>
          <w:b/>
          <w:bCs/>
          <w:sz w:val="28"/>
          <w:szCs w:val="28"/>
        </w:rPr>
      </w:pPr>
      <w:r w:rsidRPr="001D567A">
        <w:rPr>
          <w:rFonts w:ascii="Times New Roman" w:hAnsi="Times New Roman" w:cs="Times New Roman"/>
          <w:b/>
          <w:bCs/>
          <w:sz w:val="28"/>
          <w:szCs w:val="28"/>
        </w:rPr>
        <w:lastRenderedPageBreak/>
        <w:t xml:space="preserve">(b) </w:t>
      </w:r>
      <w:r w:rsidR="00C0697F" w:rsidRPr="001D567A">
        <w:rPr>
          <w:rFonts w:ascii="Times New Roman" w:hAnsi="Times New Roman" w:cs="Times New Roman"/>
          <w:b/>
          <w:bCs/>
          <w:sz w:val="28"/>
          <w:szCs w:val="28"/>
        </w:rPr>
        <w:t xml:space="preserve">Any </w:t>
      </w:r>
      <w:r w:rsidR="00C0697F" w:rsidRPr="001630CB">
        <w:rPr>
          <w:rFonts w:ascii="Times New Roman" w:hAnsi="Times New Roman" w:cs="Times New Roman"/>
          <w:b/>
          <w:bCs/>
          <w:sz w:val="28"/>
          <w:szCs w:val="28"/>
        </w:rPr>
        <w:t>statement made by the defendant to a psychiatrist or licensed psychologist during his [or her] examination of the defendant shall be inadmissible in evidence on any issue other than that of the affirmative defense of lack of criminal responsibility by reason of mental disease or defect</w:t>
      </w:r>
      <w:r w:rsidR="005C7C36" w:rsidRPr="001630CB">
        <w:rPr>
          <w:rFonts w:ascii="Times New Roman" w:hAnsi="Times New Roman" w:cs="Times New Roman"/>
          <w:b/>
          <w:bCs/>
          <w:sz w:val="28"/>
          <w:szCs w:val="28"/>
        </w:rPr>
        <w:t xml:space="preserve">. </w:t>
      </w:r>
      <w:r w:rsidR="00C0697F" w:rsidRPr="001630CB">
        <w:rPr>
          <w:rFonts w:ascii="Times New Roman" w:hAnsi="Times New Roman" w:cs="Times New Roman"/>
          <w:b/>
          <w:bCs/>
          <w:sz w:val="28"/>
          <w:szCs w:val="28"/>
        </w:rPr>
        <w:t>The statement shall, however, be admissible upon the issue of the affirmative defense of lack of criminal responsibility by reason of mental disease or defect, whether or not it would otherwise be deem</w:t>
      </w:r>
      <w:r w:rsidR="006962A4" w:rsidRPr="001630CB">
        <w:rPr>
          <w:rFonts w:ascii="Times New Roman" w:hAnsi="Times New Roman" w:cs="Times New Roman"/>
          <w:b/>
          <w:bCs/>
          <w:sz w:val="28"/>
          <w:szCs w:val="28"/>
        </w:rPr>
        <w:t>ed a privileged communication.</w:t>
      </w:r>
    </w:p>
    <w:p w14:paraId="747C55A2" w14:textId="77777777" w:rsidR="00EB2CA2" w:rsidRPr="001630CB" w:rsidRDefault="00EB2CA2" w:rsidP="006F34EE">
      <w:pPr>
        <w:pStyle w:val="ListParagra"/>
        <w:widowControl/>
        <w:tabs>
          <w:tab w:val="left" w:pos="2160"/>
          <w:tab w:val="left" w:pos="2880"/>
          <w:tab w:val="left" w:pos="3600"/>
          <w:tab w:val="left" w:pos="4320"/>
          <w:tab w:val="left" w:pos="5040"/>
          <w:tab w:val="left" w:pos="5760"/>
          <w:tab w:val="left" w:pos="6480"/>
          <w:tab w:val="left" w:pos="7198"/>
        </w:tabs>
        <w:spacing w:after="0" w:line="276" w:lineRule="auto"/>
        <w:ind w:left="0" w:right="720"/>
        <w:rPr>
          <w:rFonts w:ascii="Times New Roman" w:hAnsi="Times New Roman" w:cs="Times New Roman"/>
          <w:b/>
          <w:bCs/>
          <w:sz w:val="24"/>
          <w:szCs w:val="24"/>
        </w:rPr>
      </w:pPr>
    </w:p>
    <w:p w14:paraId="039C0C36" w14:textId="15860C72" w:rsidR="00C0697F" w:rsidRPr="001630CB" w:rsidRDefault="00C0697F" w:rsidP="001A535B">
      <w:pPr>
        <w:widowControl/>
        <w:tabs>
          <w:tab w:val="left" w:pos="721"/>
          <w:tab w:val="left" w:pos="1441"/>
          <w:tab w:val="left" w:pos="2161"/>
          <w:tab w:val="left" w:pos="2881"/>
          <w:tab w:val="left" w:pos="3601"/>
          <w:tab w:val="left" w:pos="4321"/>
          <w:tab w:val="left" w:pos="5041"/>
          <w:tab w:val="left" w:pos="5761"/>
          <w:tab w:val="left" w:pos="6481"/>
          <w:tab w:val="left" w:pos="7201"/>
        </w:tabs>
        <w:spacing w:line="276" w:lineRule="auto"/>
        <w:jc w:val="center"/>
        <w:rPr>
          <w:b/>
          <w:bCs/>
          <w:sz w:val="24"/>
          <w:szCs w:val="24"/>
        </w:rPr>
      </w:pPr>
      <w:r w:rsidRPr="001630CB">
        <w:rPr>
          <w:b/>
          <w:bCs/>
          <w:sz w:val="24"/>
          <w:szCs w:val="24"/>
        </w:rPr>
        <w:t>Note</w:t>
      </w:r>
    </w:p>
    <w:p w14:paraId="148D1770" w14:textId="77777777" w:rsidR="006962A4" w:rsidRPr="001630CB" w:rsidRDefault="006962A4" w:rsidP="001A535B">
      <w:pPr>
        <w:widowControl/>
        <w:tabs>
          <w:tab w:val="left" w:pos="721"/>
          <w:tab w:val="left" w:pos="1441"/>
          <w:tab w:val="left" w:pos="2161"/>
          <w:tab w:val="left" w:pos="2881"/>
          <w:tab w:val="left" w:pos="3601"/>
          <w:tab w:val="left" w:pos="4321"/>
          <w:tab w:val="left" w:pos="5041"/>
          <w:tab w:val="left" w:pos="5761"/>
          <w:tab w:val="left" w:pos="6481"/>
          <w:tab w:val="left" w:pos="7201"/>
        </w:tabs>
        <w:spacing w:line="276" w:lineRule="auto"/>
        <w:jc w:val="both"/>
        <w:rPr>
          <w:b/>
          <w:bCs/>
          <w:sz w:val="24"/>
          <w:szCs w:val="24"/>
        </w:rPr>
      </w:pPr>
    </w:p>
    <w:p w14:paraId="03C8D06C" w14:textId="75161E70" w:rsidR="00C0697F" w:rsidRPr="001630CB" w:rsidRDefault="006962A4" w:rsidP="001A535B">
      <w:pPr>
        <w:widowControl/>
        <w:tabs>
          <w:tab w:val="left" w:pos="721"/>
          <w:tab w:val="left" w:pos="1441"/>
          <w:tab w:val="left" w:pos="2161"/>
          <w:tab w:val="left" w:pos="2881"/>
          <w:tab w:val="left" w:pos="3601"/>
          <w:tab w:val="left" w:pos="4321"/>
          <w:tab w:val="left" w:pos="5041"/>
          <w:tab w:val="left" w:pos="5761"/>
          <w:tab w:val="left" w:pos="6481"/>
          <w:tab w:val="left" w:pos="7201"/>
          <w:tab w:val="left" w:pos="7920"/>
        </w:tabs>
        <w:spacing w:line="276" w:lineRule="auto"/>
        <w:jc w:val="both"/>
        <w:rPr>
          <w:sz w:val="24"/>
          <w:szCs w:val="24"/>
        </w:rPr>
      </w:pPr>
      <w:r w:rsidRPr="001630CB">
        <w:rPr>
          <w:sz w:val="24"/>
          <w:szCs w:val="24"/>
        </w:rPr>
        <w:tab/>
      </w:r>
      <w:r w:rsidR="00C0697F" w:rsidRPr="001630CB">
        <w:rPr>
          <w:b/>
          <w:bCs/>
          <w:sz w:val="24"/>
          <w:szCs w:val="24"/>
        </w:rPr>
        <w:t>Subdivision (1)</w:t>
      </w:r>
      <w:r w:rsidR="005C7C36" w:rsidRPr="001630CB">
        <w:rPr>
          <w:bCs/>
          <w:sz w:val="24"/>
          <w:szCs w:val="24"/>
        </w:rPr>
        <w:t xml:space="preserve"> </w:t>
      </w:r>
      <w:r w:rsidR="00C0697F" w:rsidRPr="001630CB">
        <w:rPr>
          <w:sz w:val="24"/>
          <w:szCs w:val="24"/>
        </w:rPr>
        <w:t>reflects the basic New York rule that it is for the jury to determine the facts and that they “may be aided, but not displaced,” by expert testimony “where there is reason to suppose that such testimony will elucidate some material aspect of the case that would otherwise resist comprehension by jurors of ordinary training and intelligence</w:t>
      </w:r>
      <w:r w:rsidR="00F8714D" w:rsidRPr="001630CB">
        <w:rPr>
          <w:sz w:val="24"/>
          <w:szCs w:val="24"/>
        </w:rPr>
        <w:t>” (</w:t>
      </w:r>
      <w:r w:rsidR="00C0697F" w:rsidRPr="001630CB">
        <w:rPr>
          <w:i/>
          <w:iCs/>
          <w:sz w:val="24"/>
          <w:szCs w:val="24"/>
        </w:rPr>
        <w:t>People v Inoa</w:t>
      </w:r>
      <w:r w:rsidR="00C0697F" w:rsidRPr="001630CB">
        <w:rPr>
          <w:sz w:val="24"/>
          <w:szCs w:val="24"/>
        </w:rPr>
        <w:t xml:space="preserve">, 25 NY3d 466, 472 [2015]; </w:t>
      </w:r>
      <w:r w:rsidR="00C0697F" w:rsidRPr="001630CB">
        <w:rPr>
          <w:i/>
          <w:iCs/>
          <w:sz w:val="24"/>
          <w:szCs w:val="24"/>
        </w:rPr>
        <w:t>People v Cronin</w:t>
      </w:r>
      <w:r w:rsidR="00C0697F" w:rsidRPr="001630CB">
        <w:rPr>
          <w:sz w:val="24"/>
          <w:szCs w:val="24"/>
        </w:rPr>
        <w:t>, 60 NY2d 430, 432</w:t>
      </w:r>
      <w:r w:rsidR="00C41B42" w:rsidRPr="001630CB">
        <w:rPr>
          <w:sz w:val="24"/>
          <w:szCs w:val="24"/>
        </w:rPr>
        <w:t>-</w:t>
      </w:r>
      <w:r w:rsidR="00C0697F" w:rsidRPr="001630CB">
        <w:rPr>
          <w:sz w:val="24"/>
          <w:szCs w:val="24"/>
        </w:rPr>
        <w:t>433 [1983] [“For testimony regarding both the ultimate questions and those of lesser significance, admissibility turns on whether, given the nature of the subject, ‘the facts cannot be stated or described to the jury in such a manner as to enable them to form an accurate judgment thereon, and no better evidence than such opinions is attainable’</w:t>
      </w:r>
      <w:r w:rsidR="00F8714D" w:rsidRPr="001630CB">
        <w:rPr>
          <w:sz w:val="24"/>
          <w:szCs w:val="24"/>
        </w:rPr>
        <w:t xml:space="preserve"> </w:t>
      </w:r>
      <w:r w:rsidR="00C0697F" w:rsidRPr="001630CB">
        <w:rPr>
          <w:sz w:val="24"/>
          <w:szCs w:val="24"/>
        </w:rPr>
        <w:t xml:space="preserve">”]; </w:t>
      </w:r>
      <w:r w:rsidR="00C0697F" w:rsidRPr="001630CB">
        <w:rPr>
          <w:i/>
          <w:iCs/>
          <w:sz w:val="24"/>
          <w:szCs w:val="24"/>
        </w:rPr>
        <w:t>cf. People v Clyde</w:t>
      </w:r>
      <w:r w:rsidR="00C0697F" w:rsidRPr="001630CB">
        <w:rPr>
          <w:sz w:val="24"/>
          <w:szCs w:val="24"/>
        </w:rPr>
        <w:t>, 18 NY3d 145, 154 [2011] [in responding to the defendant’s argument that “physicians were improperly allowed to testify as to their conclusions” regarding injuries, the Court held that “admissibility turns on whether, given the nature of the subject, the facts cannot be stated or described to the jury in such a manner as to enable them to form an accurate judgment thereon</w:t>
      </w:r>
      <w:r w:rsidR="004A6510" w:rsidRPr="001630CB">
        <w:rPr>
          <w:sz w:val="24"/>
          <w:szCs w:val="24"/>
        </w:rPr>
        <w:t xml:space="preserve">. </w:t>
      </w:r>
      <w:r w:rsidR="00C0697F" w:rsidRPr="001630CB">
        <w:rPr>
          <w:sz w:val="24"/>
          <w:szCs w:val="24"/>
        </w:rPr>
        <w:t>The facts that underlie physical injury and risk of serious physical injury can readily be stated to a jury so as to enable the jurors to form an accurate judgment concerning the elements of assault and unlawful imprisonment</w:t>
      </w:r>
      <w:r w:rsidR="005338C8" w:rsidRPr="001630CB">
        <w:rPr>
          <w:sz w:val="24"/>
          <w:szCs w:val="24"/>
        </w:rPr>
        <w:t>.</w:t>
      </w:r>
      <w:r w:rsidR="004A6510" w:rsidRPr="001630CB">
        <w:rPr>
          <w:sz w:val="24"/>
          <w:szCs w:val="24"/>
        </w:rPr>
        <w:t xml:space="preserve"> </w:t>
      </w:r>
      <w:r w:rsidR="00C0697F" w:rsidRPr="001630CB">
        <w:rPr>
          <w:sz w:val="24"/>
          <w:szCs w:val="24"/>
        </w:rPr>
        <w:t xml:space="preserve">It was therefore error to overrule </w:t>
      </w:r>
      <w:r w:rsidR="004A6510" w:rsidRPr="001630CB">
        <w:rPr>
          <w:sz w:val="24"/>
          <w:szCs w:val="24"/>
        </w:rPr>
        <w:t>(</w:t>
      </w:r>
      <w:r w:rsidR="00C0697F" w:rsidRPr="001630CB">
        <w:rPr>
          <w:sz w:val="24"/>
          <w:szCs w:val="24"/>
        </w:rPr>
        <w:t>the defendant’s</w:t>
      </w:r>
      <w:r w:rsidR="004A6510" w:rsidRPr="001630CB">
        <w:rPr>
          <w:sz w:val="24"/>
          <w:szCs w:val="24"/>
        </w:rPr>
        <w:t>)</w:t>
      </w:r>
      <w:r w:rsidR="00C0697F" w:rsidRPr="001630CB">
        <w:rPr>
          <w:sz w:val="24"/>
          <w:szCs w:val="24"/>
        </w:rPr>
        <w:t xml:space="preserve"> objections and p</w:t>
      </w:r>
      <w:r w:rsidRPr="001630CB">
        <w:rPr>
          <w:sz w:val="24"/>
          <w:szCs w:val="24"/>
        </w:rPr>
        <w:t>ermit this expert testimony”</w:t>
      </w:r>
      <w:r w:rsidR="004A6510" w:rsidRPr="001630CB">
        <w:rPr>
          <w:sz w:val="24"/>
          <w:szCs w:val="24"/>
        </w:rPr>
        <w:t xml:space="preserve"> (citing </w:t>
      </w:r>
      <w:r w:rsidR="004A6510" w:rsidRPr="001630CB">
        <w:rPr>
          <w:i/>
          <w:iCs/>
          <w:sz w:val="24"/>
          <w:szCs w:val="24"/>
        </w:rPr>
        <w:t>Cronin</w:t>
      </w:r>
      <w:r w:rsidR="004A6510" w:rsidRPr="001630CB">
        <w:rPr>
          <w:sz w:val="24"/>
          <w:szCs w:val="24"/>
        </w:rPr>
        <w:t>)]</w:t>
      </w:r>
      <w:r w:rsidRPr="001630CB">
        <w:rPr>
          <w:sz w:val="24"/>
          <w:szCs w:val="24"/>
        </w:rPr>
        <w:t>)</w:t>
      </w:r>
      <w:r w:rsidR="004A6510" w:rsidRPr="001630CB">
        <w:rPr>
          <w:sz w:val="24"/>
          <w:szCs w:val="24"/>
        </w:rPr>
        <w:t>.</w:t>
      </w:r>
    </w:p>
    <w:p w14:paraId="49F08392" w14:textId="77777777" w:rsidR="006962A4" w:rsidRPr="001630CB" w:rsidRDefault="006962A4" w:rsidP="001A535B">
      <w:pPr>
        <w:widowControl/>
        <w:tabs>
          <w:tab w:val="left" w:pos="721"/>
          <w:tab w:val="left" w:pos="1441"/>
          <w:tab w:val="left" w:pos="2161"/>
          <w:tab w:val="left" w:pos="2881"/>
          <w:tab w:val="left" w:pos="3601"/>
          <w:tab w:val="left" w:pos="4321"/>
          <w:tab w:val="left" w:pos="5041"/>
          <w:tab w:val="left" w:pos="5761"/>
          <w:tab w:val="left" w:pos="6481"/>
          <w:tab w:val="left" w:pos="7201"/>
          <w:tab w:val="left" w:pos="7920"/>
        </w:tabs>
        <w:spacing w:line="276" w:lineRule="auto"/>
        <w:jc w:val="both"/>
        <w:rPr>
          <w:sz w:val="24"/>
          <w:szCs w:val="24"/>
        </w:rPr>
      </w:pPr>
    </w:p>
    <w:p w14:paraId="1B9226C8" w14:textId="50507A5F" w:rsidR="00C0697F" w:rsidRPr="001630CB" w:rsidRDefault="00C0697F" w:rsidP="001A535B">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t>What distinguishes New York from other jurisdictions is its emphasis on opinion evidence being “necessary” to properly describe the subject matter</w:t>
      </w:r>
      <w:r w:rsidR="005338C8" w:rsidRPr="001630CB">
        <w:rPr>
          <w:sz w:val="24"/>
          <w:szCs w:val="24"/>
        </w:rPr>
        <w:t>.</w:t>
      </w:r>
      <w:r w:rsidR="00F27541" w:rsidRPr="001630CB">
        <w:rPr>
          <w:sz w:val="24"/>
          <w:szCs w:val="24"/>
        </w:rPr>
        <w:t xml:space="preserve"> </w:t>
      </w:r>
      <w:r w:rsidRPr="001630CB">
        <w:rPr>
          <w:sz w:val="24"/>
          <w:szCs w:val="24"/>
        </w:rPr>
        <w:t>(</w:t>
      </w:r>
      <w:r w:rsidRPr="001630CB">
        <w:rPr>
          <w:i/>
          <w:iCs/>
          <w:sz w:val="24"/>
          <w:szCs w:val="24"/>
        </w:rPr>
        <w:t>See</w:t>
      </w:r>
      <w:r w:rsidRPr="001630CB">
        <w:rPr>
          <w:sz w:val="24"/>
          <w:szCs w:val="24"/>
        </w:rPr>
        <w:t xml:space="preserve"> </w:t>
      </w:r>
      <w:r w:rsidRPr="001630CB">
        <w:rPr>
          <w:i/>
          <w:iCs/>
          <w:sz w:val="24"/>
          <w:szCs w:val="24"/>
        </w:rPr>
        <w:t>Ferguson v Hubbell</w:t>
      </w:r>
      <w:r w:rsidRPr="001630CB">
        <w:rPr>
          <w:sz w:val="24"/>
          <w:szCs w:val="24"/>
        </w:rPr>
        <w:t>, 97 NY 507, 514 [1884] [</w:t>
      </w:r>
      <w:r w:rsidR="00296F80" w:rsidRPr="001630CB">
        <w:rPr>
          <w:sz w:val="24"/>
          <w:szCs w:val="24"/>
        </w:rPr>
        <w:t>t</w:t>
      </w:r>
      <w:r w:rsidRPr="001630CB">
        <w:rPr>
          <w:sz w:val="24"/>
          <w:szCs w:val="24"/>
        </w:rPr>
        <w:t xml:space="preserve">he rules admitting opinions of experts should not be unnecessarily extended]; </w:t>
      </w:r>
      <w:r w:rsidRPr="001630CB">
        <w:rPr>
          <w:i/>
          <w:iCs/>
          <w:sz w:val="24"/>
          <w:szCs w:val="24"/>
        </w:rPr>
        <w:t>Teerpenning v Corn Exch. Ins. Co.</w:t>
      </w:r>
      <w:r w:rsidRPr="001630CB">
        <w:rPr>
          <w:sz w:val="24"/>
          <w:szCs w:val="24"/>
        </w:rPr>
        <w:t>,</w:t>
      </w:r>
      <w:r w:rsidRPr="001630CB">
        <w:rPr>
          <w:i/>
          <w:iCs/>
          <w:sz w:val="24"/>
          <w:szCs w:val="24"/>
        </w:rPr>
        <w:t xml:space="preserve"> </w:t>
      </w:r>
      <w:r w:rsidRPr="001630CB">
        <w:rPr>
          <w:sz w:val="24"/>
          <w:szCs w:val="24"/>
        </w:rPr>
        <w:t xml:space="preserve">43 NY 279, 281 [1871].) That “necessity” requirement in recent times appears subsumed by the requirement that the subject matter be beyond the knowledge or </w:t>
      </w:r>
      <w:r w:rsidRPr="001630CB">
        <w:rPr>
          <w:sz w:val="24"/>
          <w:szCs w:val="24"/>
        </w:rPr>
        <w:lastRenderedPageBreak/>
        <w:t>understanding of a typical juror or will dispel misconceptions a juror may hold and thereby help a juror to understand the evidence or determine a fact in issue</w:t>
      </w:r>
      <w:r w:rsidR="005338C8" w:rsidRPr="001630CB">
        <w:rPr>
          <w:sz w:val="24"/>
          <w:szCs w:val="24"/>
        </w:rPr>
        <w:t xml:space="preserve">. </w:t>
      </w:r>
      <w:r w:rsidRPr="001630CB">
        <w:rPr>
          <w:sz w:val="24"/>
          <w:szCs w:val="24"/>
        </w:rPr>
        <w:t>(</w:t>
      </w:r>
      <w:r w:rsidRPr="001630CB">
        <w:rPr>
          <w:i/>
          <w:iCs/>
          <w:sz w:val="24"/>
          <w:szCs w:val="24"/>
        </w:rPr>
        <w:t>People v Rivers</w:t>
      </w:r>
      <w:r w:rsidRPr="001630CB">
        <w:rPr>
          <w:sz w:val="24"/>
          <w:szCs w:val="24"/>
        </w:rPr>
        <w:t xml:space="preserve">, 18 NY3d 222, 228 [2011] [“ ‘The guiding principle is that expert opinion is proper when it would help to clarify an issue calling for professional or technical knowledge, possessed by the expert and beyond the ken of the typical juror’ ”]; </w:t>
      </w:r>
      <w:r w:rsidRPr="001630CB">
        <w:rPr>
          <w:i/>
          <w:iCs/>
          <w:sz w:val="24"/>
          <w:szCs w:val="24"/>
        </w:rPr>
        <w:t>People v LeGrand</w:t>
      </w:r>
      <w:r w:rsidRPr="001630CB">
        <w:rPr>
          <w:sz w:val="24"/>
          <w:szCs w:val="24"/>
        </w:rPr>
        <w:t xml:space="preserve">, 8 NY3d </w:t>
      </w:r>
      <w:r w:rsidR="00F8714D" w:rsidRPr="001630CB">
        <w:rPr>
          <w:sz w:val="24"/>
          <w:szCs w:val="24"/>
        </w:rPr>
        <w:t>449, 455-456 [2007] [“A court’</w:t>
      </w:r>
      <w:r w:rsidRPr="001630CB">
        <w:rPr>
          <w:sz w:val="24"/>
          <w:szCs w:val="24"/>
        </w:rPr>
        <w:t xml:space="preserve">s exercise of discretion depends largely on whether jurors, after the court considers their ‘day-to-day experience, their common observation and their knowledge,’ would benefit from the specialized knowledge of an expert witness”]; </w:t>
      </w:r>
      <w:r w:rsidRPr="001630CB">
        <w:rPr>
          <w:i/>
          <w:iCs/>
          <w:sz w:val="24"/>
          <w:szCs w:val="24"/>
        </w:rPr>
        <w:t>People v Keindl</w:t>
      </w:r>
      <w:r w:rsidRPr="001630CB">
        <w:rPr>
          <w:sz w:val="24"/>
          <w:szCs w:val="24"/>
        </w:rPr>
        <w:t>, 68 NY2d 410, 422 [1986] [“Opinion testimony of an expert witness is admissible where the conclusions to be drawn ‘depend upon professional or scientific knowledge or skill not within the range of ordinary training or intelligence’</w:t>
      </w:r>
      <w:r w:rsidR="00F8714D" w:rsidRPr="001630CB">
        <w:rPr>
          <w:sz w:val="24"/>
          <w:szCs w:val="24"/>
        </w:rPr>
        <w:t xml:space="preserve"> </w:t>
      </w:r>
      <w:r w:rsidRPr="001630CB">
        <w:rPr>
          <w:sz w:val="24"/>
          <w:szCs w:val="24"/>
        </w:rPr>
        <w:t xml:space="preserve">”]; </w:t>
      </w:r>
      <w:r w:rsidRPr="001630CB">
        <w:rPr>
          <w:i/>
          <w:iCs/>
          <w:sz w:val="24"/>
          <w:szCs w:val="24"/>
        </w:rPr>
        <w:t>People v Lee</w:t>
      </w:r>
      <w:r w:rsidRPr="001630CB">
        <w:rPr>
          <w:sz w:val="24"/>
          <w:szCs w:val="24"/>
        </w:rPr>
        <w:t>, 96 NY2d 157, 162 [2001] [“Despite the fact that jurors may be familiar from their own experience with factors relevant to the reliability of eyewitness observation and identification, it cannot be said that psychological studies regarding the accuracy of an identification are within the ken of the typical juror”].)</w:t>
      </w:r>
      <w:r w:rsidR="007E12A7" w:rsidRPr="001630CB">
        <w:rPr>
          <w:sz w:val="24"/>
          <w:szCs w:val="24"/>
        </w:rPr>
        <w:t xml:space="preserve"> </w:t>
      </w:r>
      <w:r w:rsidRPr="001630CB">
        <w:rPr>
          <w:sz w:val="24"/>
          <w:szCs w:val="24"/>
        </w:rPr>
        <w:t xml:space="preserve">In the end, it is for the trial court “to determine when jurors are able to draw conclusions from the evidence based on their day-to-day experience, their common observation and their knowledge, and when they would be benefited by the specialized </w:t>
      </w:r>
      <w:r w:rsidR="00F8714D" w:rsidRPr="001630CB">
        <w:rPr>
          <w:sz w:val="24"/>
          <w:szCs w:val="24"/>
        </w:rPr>
        <w:t>knowledge of an expert witness.”</w:t>
      </w:r>
      <w:r w:rsidRPr="001630CB">
        <w:rPr>
          <w:sz w:val="24"/>
          <w:szCs w:val="24"/>
        </w:rPr>
        <w:t xml:space="preserve"> (</w:t>
      </w:r>
      <w:r w:rsidRPr="001630CB">
        <w:rPr>
          <w:i/>
          <w:iCs/>
          <w:sz w:val="24"/>
          <w:szCs w:val="24"/>
        </w:rPr>
        <w:t>People v Cronin</w:t>
      </w:r>
      <w:r w:rsidRPr="001630CB">
        <w:rPr>
          <w:sz w:val="24"/>
          <w:szCs w:val="24"/>
        </w:rPr>
        <w:t xml:space="preserve">, 60 NY2d at 433; </w:t>
      </w:r>
      <w:r w:rsidRPr="001630CB">
        <w:rPr>
          <w:i/>
          <w:iCs/>
          <w:sz w:val="24"/>
          <w:szCs w:val="24"/>
        </w:rPr>
        <w:t>People v Keindl</w:t>
      </w:r>
      <w:r w:rsidRPr="001630CB">
        <w:rPr>
          <w:sz w:val="24"/>
          <w:szCs w:val="24"/>
        </w:rPr>
        <w:t xml:space="preserve">, 68 NY2d at 422; </w:t>
      </w:r>
      <w:r w:rsidRPr="001630CB">
        <w:rPr>
          <w:i/>
          <w:iCs/>
          <w:sz w:val="24"/>
          <w:szCs w:val="24"/>
        </w:rPr>
        <w:t>People v Lee</w:t>
      </w:r>
      <w:r w:rsidRPr="001630CB">
        <w:rPr>
          <w:sz w:val="24"/>
          <w:szCs w:val="24"/>
        </w:rPr>
        <w:t>, 96 NY2d at 162.)</w:t>
      </w:r>
    </w:p>
    <w:p w14:paraId="52CD2DB9" w14:textId="77777777" w:rsidR="007E12A7" w:rsidRPr="001630CB" w:rsidRDefault="007E12A7" w:rsidP="001A535B">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713DA21E" w14:textId="69CE8E40" w:rsidR="000912F0" w:rsidRPr="001630CB" w:rsidRDefault="00B36891" w:rsidP="001A535B">
      <w:pPr>
        <w:tabs>
          <w:tab w:val="left" w:pos="720"/>
        </w:tabs>
        <w:spacing w:line="276" w:lineRule="auto"/>
        <w:jc w:val="both"/>
        <w:rPr>
          <w:sz w:val="24"/>
          <w:szCs w:val="24"/>
        </w:rPr>
      </w:pPr>
      <w:r w:rsidRPr="001630CB">
        <w:rPr>
          <w:sz w:val="24"/>
          <w:szCs w:val="24"/>
        </w:rPr>
        <w:tab/>
      </w:r>
      <w:r w:rsidR="000912F0" w:rsidRPr="001630CB">
        <w:rPr>
          <w:sz w:val="24"/>
          <w:szCs w:val="24"/>
        </w:rPr>
        <w:t>As also specified in subdivision (1), the proffered expert witness must be qualified to provide expert testimony, that is, the witness “should be possessed of the requisite skill, training, education, knowledge or experience from which it can be assumed that the information imparted or the opinion rendered is reliable.” (</w:t>
      </w:r>
      <w:r w:rsidR="000912F0" w:rsidRPr="001630CB">
        <w:rPr>
          <w:i/>
          <w:iCs/>
          <w:sz w:val="24"/>
          <w:szCs w:val="24"/>
        </w:rPr>
        <w:t>Ma</w:t>
      </w:r>
      <w:r w:rsidR="00F27541" w:rsidRPr="001630CB">
        <w:rPr>
          <w:i/>
          <w:iCs/>
          <w:sz w:val="24"/>
          <w:szCs w:val="24"/>
        </w:rPr>
        <w:t>t</w:t>
      </w:r>
      <w:r w:rsidR="000912F0" w:rsidRPr="001630CB">
        <w:rPr>
          <w:i/>
          <w:iCs/>
          <w:sz w:val="24"/>
          <w:szCs w:val="24"/>
        </w:rPr>
        <w:t>ott v Ward</w:t>
      </w:r>
      <w:r w:rsidR="000912F0" w:rsidRPr="001630CB">
        <w:rPr>
          <w:sz w:val="24"/>
          <w:szCs w:val="24"/>
        </w:rPr>
        <w:t>, 48 NY2d 455, 459 [1979]</w:t>
      </w:r>
      <w:r w:rsidR="00F27541" w:rsidRPr="001630CB">
        <w:rPr>
          <w:sz w:val="24"/>
          <w:szCs w:val="24"/>
        </w:rPr>
        <w:t xml:space="preserve">; </w:t>
      </w:r>
      <w:r w:rsidR="00F27541" w:rsidRPr="001630CB">
        <w:rPr>
          <w:i/>
          <w:iCs/>
          <w:sz w:val="24"/>
          <w:szCs w:val="24"/>
        </w:rPr>
        <w:t>s</w:t>
      </w:r>
      <w:r w:rsidR="005A5A79" w:rsidRPr="001630CB">
        <w:rPr>
          <w:i/>
          <w:iCs/>
          <w:sz w:val="24"/>
          <w:szCs w:val="24"/>
        </w:rPr>
        <w:t>ee</w:t>
      </w:r>
      <w:r w:rsidR="000912F0" w:rsidRPr="001630CB">
        <w:rPr>
          <w:sz w:val="24"/>
          <w:szCs w:val="24"/>
        </w:rPr>
        <w:t xml:space="preserve"> </w:t>
      </w:r>
      <w:r w:rsidR="000912F0" w:rsidRPr="001630CB">
        <w:rPr>
          <w:i/>
          <w:iCs/>
          <w:sz w:val="24"/>
          <w:szCs w:val="24"/>
        </w:rPr>
        <w:t>Meiselman v Crown Hgts</w:t>
      </w:r>
      <w:r w:rsidR="00F27541" w:rsidRPr="001630CB">
        <w:rPr>
          <w:i/>
          <w:iCs/>
          <w:sz w:val="24"/>
          <w:szCs w:val="24"/>
        </w:rPr>
        <w:t>.</w:t>
      </w:r>
      <w:r w:rsidR="000912F0" w:rsidRPr="001630CB">
        <w:rPr>
          <w:i/>
          <w:iCs/>
          <w:sz w:val="24"/>
          <w:szCs w:val="24"/>
        </w:rPr>
        <w:t xml:space="preserve"> Hosp.</w:t>
      </w:r>
      <w:r w:rsidR="000912F0" w:rsidRPr="001630CB">
        <w:rPr>
          <w:sz w:val="24"/>
          <w:szCs w:val="24"/>
        </w:rPr>
        <w:t>,</w:t>
      </w:r>
      <w:r w:rsidR="000912F0" w:rsidRPr="001630CB">
        <w:rPr>
          <w:i/>
          <w:iCs/>
          <w:sz w:val="24"/>
          <w:szCs w:val="24"/>
        </w:rPr>
        <w:t xml:space="preserve"> </w:t>
      </w:r>
      <w:r w:rsidR="000912F0" w:rsidRPr="001630CB">
        <w:rPr>
          <w:sz w:val="24"/>
          <w:szCs w:val="24"/>
        </w:rPr>
        <w:t>285 NY 389</w:t>
      </w:r>
      <w:r w:rsidR="00A60547" w:rsidRPr="001630CB">
        <w:rPr>
          <w:sz w:val="24"/>
          <w:szCs w:val="24"/>
        </w:rPr>
        <w:t>, 398</w:t>
      </w:r>
      <w:r w:rsidR="00756F14" w:rsidRPr="001630CB">
        <w:rPr>
          <w:sz w:val="24"/>
          <w:szCs w:val="24"/>
        </w:rPr>
        <w:t xml:space="preserve"> </w:t>
      </w:r>
      <w:r w:rsidR="000912F0" w:rsidRPr="001630CB">
        <w:rPr>
          <w:sz w:val="24"/>
          <w:szCs w:val="24"/>
        </w:rPr>
        <w:t>[1941].) The proponent of the witness is entitled to a reasonable opportunity to demonstrate that the person is qualified to testify as an expert (s</w:t>
      </w:r>
      <w:r w:rsidR="000912F0" w:rsidRPr="001630CB">
        <w:rPr>
          <w:i/>
          <w:iCs/>
          <w:sz w:val="24"/>
          <w:szCs w:val="24"/>
        </w:rPr>
        <w:t>ee Werner v Sun Oil Co.</w:t>
      </w:r>
      <w:r w:rsidR="000912F0" w:rsidRPr="001630CB">
        <w:rPr>
          <w:sz w:val="24"/>
          <w:szCs w:val="24"/>
        </w:rPr>
        <w:t>, 65 NY2d 839</w:t>
      </w:r>
      <w:r w:rsidR="00105AE8" w:rsidRPr="001630CB">
        <w:rPr>
          <w:sz w:val="24"/>
          <w:szCs w:val="24"/>
        </w:rPr>
        <w:t>, 840</w:t>
      </w:r>
      <w:r w:rsidR="000912F0" w:rsidRPr="001630CB">
        <w:rPr>
          <w:sz w:val="24"/>
          <w:szCs w:val="24"/>
        </w:rPr>
        <w:t xml:space="preserve"> [1985]) and the opposing party is entitled to a reasonable opportunity to demonstrate otherwise. The trial court decides in the exercise of its discretion whether the witness is qualified to testify as an expert. (</w:t>
      </w:r>
      <w:r w:rsidR="000912F0" w:rsidRPr="001630CB">
        <w:rPr>
          <w:i/>
          <w:iCs/>
          <w:sz w:val="24"/>
          <w:szCs w:val="24"/>
        </w:rPr>
        <w:t>Price v New York City Hous</w:t>
      </w:r>
      <w:r w:rsidR="003504E7" w:rsidRPr="001630CB">
        <w:rPr>
          <w:i/>
          <w:iCs/>
          <w:sz w:val="24"/>
          <w:szCs w:val="24"/>
        </w:rPr>
        <w:t xml:space="preserve">. </w:t>
      </w:r>
      <w:r w:rsidR="000912F0" w:rsidRPr="001630CB">
        <w:rPr>
          <w:i/>
          <w:iCs/>
          <w:sz w:val="24"/>
          <w:szCs w:val="24"/>
        </w:rPr>
        <w:t>Auth.</w:t>
      </w:r>
      <w:r w:rsidR="000912F0" w:rsidRPr="001630CB">
        <w:rPr>
          <w:sz w:val="24"/>
          <w:szCs w:val="24"/>
        </w:rPr>
        <w:t>, 92 NY2d 553, 558 [1998]</w:t>
      </w:r>
      <w:r w:rsidR="003504E7" w:rsidRPr="001630CB">
        <w:rPr>
          <w:sz w:val="24"/>
          <w:szCs w:val="24"/>
        </w:rPr>
        <w:t xml:space="preserve">; </w:t>
      </w:r>
      <w:r w:rsidR="000912F0" w:rsidRPr="001630CB">
        <w:rPr>
          <w:sz w:val="24"/>
          <w:szCs w:val="24"/>
        </w:rPr>
        <w:t>Guide to NY Evid rule 1.09</w:t>
      </w:r>
      <w:r w:rsidR="003504E7" w:rsidRPr="001630CB">
        <w:rPr>
          <w:sz w:val="24"/>
          <w:szCs w:val="24"/>
        </w:rPr>
        <w:t xml:space="preserve"> [</w:t>
      </w:r>
      <w:r w:rsidR="000912F0" w:rsidRPr="001630CB">
        <w:rPr>
          <w:sz w:val="24"/>
          <w:szCs w:val="24"/>
        </w:rPr>
        <w:t>1</w:t>
      </w:r>
      <w:r w:rsidR="003504E7" w:rsidRPr="001630CB">
        <w:rPr>
          <w:sz w:val="24"/>
          <w:szCs w:val="24"/>
        </w:rPr>
        <w:t>].</w:t>
      </w:r>
      <w:r w:rsidR="00A60547" w:rsidRPr="001630CB">
        <w:rPr>
          <w:sz w:val="24"/>
          <w:szCs w:val="24"/>
        </w:rPr>
        <w:t>)</w:t>
      </w:r>
      <w:r w:rsidR="003504E7" w:rsidRPr="001630CB">
        <w:rPr>
          <w:sz w:val="24"/>
          <w:szCs w:val="24"/>
        </w:rPr>
        <w:t xml:space="preserve"> </w:t>
      </w:r>
      <w:r w:rsidR="000912F0" w:rsidRPr="001630CB">
        <w:rPr>
          <w:sz w:val="24"/>
          <w:szCs w:val="24"/>
        </w:rPr>
        <w:t xml:space="preserve">As stated in </w:t>
      </w:r>
      <w:r w:rsidR="000912F0" w:rsidRPr="001630CB">
        <w:rPr>
          <w:i/>
          <w:iCs/>
          <w:sz w:val="24"/>
          <w:szCs w:val="24"/>
        </w:rPr>
        <w:t>Meiselman</w:t>
      </w:r>
      <w:r w:rsidR="000912F0" w:rsidRPr="001630CB">
        <w:rPr>
          <w:sz w:val="24"/>
          <w:szCs w:val="24"/>
        </w:rPr>
        <w:t>: “The prevailing rule is that the question of the qualification of a witness to testify as an expert is for determination, in his [or her] reasonable discretion, by the trial court, which discretion, when exercised, is not open to review unless in deciding the question the trial court has made a serious mistake or committed an error of law or has abused his [or her] discretion.” (285 NY at 398-</w:t>
      </w:r>
      <w:r w:rsidR="00B22DA3" w:rsidRPr="001630CB">
        <w:rPr>
          <w:sz w:val="24"/>
          <w:szCs w:val="24"/>
        </w:rPr>
        <w:t>3</w:t>
      </w:r>
      <w:r w:rsidR="000912F0" w:rsidRPr="001630CB">
        <w:rPr>
          <w:sz w:val="24"/>
          <w:szCs w:val="24"/>
        </w:rPr>
        <w:t>99</w:t>
      </w:r>
      <w:r w:rsidR="003504E7" w:rsidRPr="001630CB">
        <w:rPr>
          <w:sz w:val="24"/>
          <w:szCs w:val="24"/>
        </w:rPr>
        <w:t>.</w:t>
      </w:r>
      <w:r w:rsidR="00544964" w:rsidRPr="001630CB">
        <w:rPr>
          <w:sz w:val="24"/>
          <w:szCs w:val="24"/>
        </w:rPr>
        <w:t>)</w:t>
      </w:r>
    </w:p>
    <w:p w14:paraId="50E67962" w14:textId="77777777" w:rsidR="006962A4" w:rsidRPr="001630CB" w:rsidRDefault="006962A4"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34CB7D51" w14:textId="05F07B41" w:rsidR="00C0697F" w:rsidRPr="001630CB" w:rsidRDefault="00C0697F"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r>
      <w:r w:rsidRPr="001630CB">
        <w:rPr>
          <w:b/>
          <w:bCs/>
          <w:sz w:val="24"/>
          <w:szCs w:val="24"/>
        </w:rPr>
        <w:t>Subdivision (2)</w:t>
      </w:r>
      <w:r w:rsidR="00B32518" w:rsidRPr="001630CB">
        <w:rPr>
          <w:bCs/>
          <w:sz w:val="24"/>
          <w:szCs w:val="24"/>
        </w:rPr>
        <w:t xml:space="preserve"> </w:t>
      </w:r>
      <w:r w:rsidRPr="001630CB">
        <w:rPr>
          <w:sz w:val="24"/>
          <w:szCs w:val="24"/>
        </w:rPr>
        <w:t xml:space="preserve">sets forth New York’s continued adherence to the rule of </w:t>
      </w:r>
      <w:r w:rsidRPr="001630CB">
        <w:rPr>
          <w:i/>
          <w:iCs/>
          <w:sz w:val="24"/>
          <w:szCs w:val="24"/>
        </w:rPr>
        <w:t>Frye v United States</w:t>
      </w:r>
      <w:r w:rsidRPr="001630CB">
        <w:rPr>
          <w:sz w:val="24"/>
          <w:szCs w:val="24"/>
        </w:rPr>
        <w:t xml:space="preserve"> (293 F 1013 [DC Cir 1923]</w:t>
      </w:r>
      <w:r w:rsidR="003504E7" w:rsidRPr="001630CB">
        <w:rPr>
          <w:sz w:val="24"/>
          <w:szCs w:val="24"/>
        </w:rPr>
        <w:t xml:space="preserve">; </w:t>
      </w:r>
      <w:r w:rsidRPr="001630CB">
        <w:rPr>
          <w:i/>
          <w:iCs/>
          <w:sz w:val="24"/>
          <w:szCs w:val="24"/>
        </w:rPr>
        <w:t>People v Wesley</w:t>
      </w:r>
      <w:r w:rsidRPr="001630CB">
        <w:rPr>
          <w:sz w:val="24"/>
          <w:szCs w:val="24"/>
        </w:rPr>
        <w:t xml:space="preserve">, 83 NY2d 417 </w:t>
      </w:r>
      <w:r w:rsidRPr="001630CB">
        <w:rPr>
          <w:sz w:val="24"/>
          <w:szCs w:val="24"/>
        </w:rPr>
        <w:lastRenderedPageBreak/>
        <w:t>[1994])</w:t>
      </w:r>
      <w:r w:rsidR="00954C1C" w:rsidRPr="001630CB">
        <w:rPr>
          <w:sz w:val="24"/>
          <w:szCs w:val="24"/>
        </w:rPr>
        <w:t>.</w:t>
      </w:r>
      <w:r w:rsidR="002B0222" w:rsidRPr="001630CB">
        <w:rPr>
          <w:sz w:val="24"/>
          <w:szCs w:val="24"/>
        </w:rPr>
        <w:t xml:space="preserve"> </w:t>
      </w:r>
      <w:r w:rsidRPr="001630CB">
        <w:rPr>
          <w:sz w:val="24"/>
          <w:szCs w:val="24"/>
        </w:rPr>
        <w:t xml:space="preserve">“Absent a novel or experimental scientific theory, a </w:t>
      </w:r>
      <w:r w:rsidRPr="001630CB">
        <w:rPr>
          <w:i/>
          <w:iCs/>
          <w:sz w:val="24"/>
          <w:szCs w:val="24"/>
        </w:rPr>
        <w:t>Frye</w:t>
      </w:r>
      <w:r w:rsidRPr="001630CB">
        <w:rPr>
          <w:sz w:val="24"/>
          <w:szCs w:val="24"/>
        </w:rPr>
        <w:t xml:space="preserve"> hearing is generally unwarranted.</w:t>
      </w:r>
      <w:r w:rsidR="00F8714D" w:rsidRPr="001630CB">
        <w:rPr>
          <w:sz w:val="24"/>
          <w:szCs w:val="24"/>
        </w:rPr>
        <w:t>”</w:t>
      </w:r>
      <w:r w:rsidRPr="001630CB">
        <w:rPr>
          <w:sz w:val="24"/>
          <w:szCs w:val="24"/>
        </w:rPr>
        <w:t xml:space="preserve"> (</w:t>
      </w:r>
      <w:r w:rsidRPr="001630CB">
        <w:rPr>
          <w:i/>
          <w:iCs/>
          <w:sz w:val="24"/>
          <w:szCs w:val="24"/>
        </w:rPr>
        <w:t>People v Brooks</w:t>
      </w:r>
      <w:r w:rsidRPr="001630CB">
        <w:rPr>
          <w:sz w:val="24"/>
          <w:szCs w:val="24"/>
        </w:rPr>
        <w:t>, 31 NY3d 939, 941 [2018].)</w:t>
      </w:r>
    </w:p>
    <w:p w14:paraId="7D9368A9" w14:textId="77777777" w:rsidR="006962A4" w:rsidRPr="001630CB" w:rsidRDefault="006962A4"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1B230C3D" w14:textId="3CBA9867" w:rsidR="00C0697F" w:rsidRPr="001630CB" w:rsidRDefault="00C0697F"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t xml:space="preserve">The </w:t>
      </w:r>
      <w:r w:rsidRPr="001630CB">
        <w:rPr>
          <w:i/>
          <w:iCs/>
          <w:sz w:val="24"/>
          <w:szCs w:val="24"/>
        </w:rPr>
        <w:t>Frye</w:t>
      </w:r>
      <w:r w:rsidRPr="001630CB">
        <w:rPr>
          <w:sz w:val="24"/>
          <w:szCs w:val="24"/>
        </w:rPr>
        <w:t xml:space="preserve"> rule does not apply where experts base their testimony on personal training or experience of the expert</w:t>
      </w:r>
      <w:r w:rsidR="00954C1C" w:rsidRPr="001630CB">
        <w:rPr>
          <w:sz w:val="24"/>
          <w:szCs w:val="24"/>
        </w:rPr>
        <w:t>.</w:t>
      </w:r>
      <w:r w:rsidR="003504E7" w:rsidRPr="001630CB">
        <w:rPr>
          <w:sz w:val="24"/>
          <w:szCs w:val="24"/>
        </w:rPr>
        <w:t xml:space="preserve"> </w:t>
      </w:r>
      <w:r w:rsidRPr="001630CB">
        <w:rPr>
          <w:sz w:val="24"/>
          <w:szCs w:val="24"/>
        </w:rPr>
        <w:t>(</w:t>
      </w:r>
      <w:r w:rsidRPr="001630CB">
        <w:rPr>
          <w:i/>
          <w:iCs/>
          <w:sz w:val="24"/>
          <w:szCs w:val="24"/>
        </w:rPr>
        <w:t>People v Oddone</w:t>
      </w:r>
      <w:r w:rsidRPr="001630CB">
        <w:rPr>
          <w:sz w:val="24"/>
          <w:szCs w:val="24"/>
        </w:rPr>
        <w:t xml:space="preserve">, 22 NY3d 369, 375 [2013].) In </w:t>
      </w:r>
      <w:r w:rsidRPr="001630CB">
        <w:rPr>
          <w:i/>
          <w:iCs/>
          <w:sz w:val="24"/>
          <w:szCs w:val="24"/>
        </w:rPr>
        <w:t>Oddone</w:t>
      </w:r>
      <w:r w:rsidRPr="001630CB">
        <w:rPr>
          <w:sz w:val="24"/>
          <w:szCs w:val="24"/>
        </w:rPr>
        <w:t xml:space="preserve">, the </w:t>
      </w:r>
      <w:r w:rsidR="003504E7" w:rsidRPr="001630CB">
        <w:rPr>
          <w:sz w:val="24"/>
          <w:szCs w:val="24"/>
        </w:rPr>
        <w:t>C</w:t>
      </w:r>
      <w:r w:rsidRPr="001630CB">
        <w:rPr>
          <w:sz w:val="24"/>
          <w:szCs w:val="24"/>
        </w:rPr>
        <w:t>ourt permitted a doctor to testify that the deceased’s neck had been compressed for “something in the range of 2, 3, 4 minutes</w:t>
      </w:r>
      <w:r w:rsidR="003504E7" w:rsidRPr="001630CB">
        <w:rPr>
          <w:sz w:val="24"/>
          <w:szCs w:val="24"/>
        </w:rPr>
        <w:t>.</w:t>
      </w:r>
      <w:r w:rsidRPr="001630CB">
        <w:rPr>
          <w:sz w:val="24"/>
          <w:szCs w:val="24"/>
        </w:rPr>
        <w:t>”</w:t>
      </w:r>
      <w:r w:rsidR="003504E7" w:rsidRPr="001630CB">
        <w:rPr>
          <w:sz w:val="24"/>
          <w:szCs w:val="24"/>
        </w:rPr>
        <w:t xml:space="preserve"> </w:t>
      </w:r>
      <w:r w:rsidRPr="001630CB">
        <w:rPr>
          <w:sz w:val="24"/>
          <w:szCs w:val="24"/>
        </w:rPr>
        <w:t xml:space="preserve">The defendant claimed that the doctor “was advancing a scientific principle that had not gained general acceptance in its field, in violation of the rule of </w:t>
      </w:r>
      <w:r w:rsidRPr="001630CB">
        <w:rPr>
          <w:i/>
          <w:iCs/>
          <w:sz w:val="24"/>
          <w:szCs w:val="24"/>
        </w:rPr>
        <w:t>Frye . . . .</w:t>
      </w:r>
      <w:r w:rsidR="00F8714D" w:rsidRPr="001630CB">
        <w:rPr>
          <w:sz w:val="24"/>
          <w:szCs w:val="24"/>
        </w:rPr>
        <w:t xml:space="preserve"> The flaw in defendant’</w:t>
      </w:r>
      <w:r w:rsidRPr="001630CB">
        <w:rPr>
          <w:sz w:val="24"/>
          <w:szCs w:val="24"/>
        </w:rPr>
        <w:t>s reasoning is that [the doctor] did not claim to rely on any established scientific principle</w:t>
      </w:r>
      <w:r w:rsidR="00954C1C" w:rsidRPr="001630CB">
        <w:rPr>
          <w:sz w:val="24"/>
          <w:szCs w:val="24"/>
        </w:rPr>
        <w:t>.</w:t>
      </w:r>
      <w:r w:rsidR="003504E7" w:rsidRPr="001630CB">
        <w:rPr>
          <w:sz w:val="24"/>
          <w:szCs w:val="24"/>
        </w:rPr>
        <w:t xml:space="preserve"> </w:t>
      </w:r>
      <w:r w:rsidRPr="001630CB">
        <w:rPr>
          <w:sz w:val="24"/>
          <w:szCs w:val="24"/>
        </w:rPr>
        <w:t>He made clear that his testimony was based on his personal ‘experience’—meaning what he had observed, heard and read about particular cases</w:t>
      </w:r>
      <w:r w:rsidR="00954C1C" w:rsidRPr="001630CB">
        <w:rPr>
          <w:sz w:val="24"/>
          <w:szCs w:val="24"/>
        </w:rPr>
        <w:t>.</w:t>
      </w:r>
      <w:r w:rsidR="003504E7" w:rsidRPr="001630CB">
        <w:rPr>
          <w:sz w:val="24"/>
          <w:szCs w:val="24"/>
        </w:rPr>
        <w:t xml:space="preserve"> </w:t>
      </w:r>
      <w:r w:rsidRPr="001630CB">
        <w:rPr>
          <w:sz w:val="24"/>
          <w:szCs w:val="24"/>
        </w:rPr>
        <w:t xml:space="preserve">Such evidence is not barred by </w:t>
      </w:r>
      <w:r w:rsidRPr="001630CB">
        <w:rPr>
          <w:i/>
          <w:iCs/>
          <w:sz w:val="24"/>
          <w:szCs w:val="24"/>
        </w:rPr>
        <w:t>Frye</w:t>
      </w:r>
      <w:r w:rsidR="00F8714D" w:rsidRPr="001630CB">
        <w:rPr>
          <w:iCs/>
          <w:sz w:val="24"/>
          <w:szCs w:val="24"/>
        </w:rPr>
        <w:t>”</w:t>
      </w:r>
      <w:r w:rsidRPr="001630CB">
        <w:rPr>
          <w:i/>
          <w:iCs/>
          <w:sz w:val="24"/>
          <w:szCs w:val="24"/>
        </w:rPr>
        <w:t xml:space="preserve"> </w:t>
      </w:r>
      <w:r w:rsidR="00F8714D" w:rsidRPr="001630CB">
        <w:rPr>
          <w:iCs/>
          <w:sz w:val="24"/>
          <w:szCs w:val="24"/>
        </w:rPr>
        <w:t>(</w:t>
      </w:r>
      <w:r w:rsidRPr="001630CB">
        <w:rPr>
          <w:i/>
          <w:iCs/>
          <w:sz w:val="24"/>
          <w:szCs w:val="24"/>
        </w:rPr>
        <w:t>Oddone</w:t>
      </w:r>
      <w:r w:rsidRPr="001630CB">
        <w:rPr>
          <w:sz w:val="24"/>
          <w:szCs w:val="24"/>
        </w:rPr>
        <w:t>,</w:t>
      </w:r>
      <w:r w:rsidRPr="001630CB">
        <w:rPr>
          <w:i/>
          <w:iCs/>
          <w:sz w:val="24"/>
          <w:szCs w:val="24"/>
        </w:rPr>
        <w:t xml:space="preserve"> </w:t>
      </w:r>
      <w:r w:rsidR="006962A4" w:rsidRPr="001630CB">
        <w:rPr>
          <w:sz w:val="24"/>
          <w:szCs w:val="24"/>
        </w:rPr>
        <w:t>22 NY3d at 375-376).</w:t>
      </w:r>
    </w:p>
    <w:p w14:paraId="2A9948EB" w14:textId="77777777" w:rsidR="006962A4" w:rsidRPr="001630CB" w:rsidRDefault="006962A4"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558F2128" w14:textId="42504ABC" w:rsidR="00C0697F" w:rsidRPr="001630CB" w:rsidRDefault="006962A4"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r>
      <w:r w:rsidR="00C0697F" w:rsidRPr="001630CB">
        <w:rPr>
          <w:sz w:val="24"/>
          <w:szCs w:val="24"/>
        </w:rPr>
        <w:t xml:space="preserve">The </w:t>
      </w:r>
      <w:r w:rsidR="00C0697F" w:rsidRPr="001630CB">
        <w:rPr>
          <w:i/>
          <w:iCs/>
          <w:sz w:val="24"/>
          <w:szCs w:val="24"/>
        </w:rPr>
        <w:t>Oddone</w:t>
      </w:r>
      <w:r w:rsidR="00C0697F" w:rsidRPr="001630CB">
        <w:rPr>
          <w:sz w:val="24"/>
          <w:szCs w:val="24"/>
        </w:rPr>
        <w:t xml:space="preserve"> </w:t>
      </w:r>
      <w:r w:rsidR="006B4BDA" w:rsidRPr="001630CB">
        <w:rPr>
          <w:sz w:val="24"/>
          <w:szCs w:val="24"/>
        </w:rPr>
        <w:t>C</w:t>
      </w:r>
      <w:r w:rsidR="00C0697F" w:rsidRPr="001630CB">
        <w:rPr>
          <w:sz w:val="24"/>
          <w:szCs w:val="24"/>
        </w:rPr>
        <w:t>ourt added a caveat:</w:t>
      </w:r>
    </w:p>
    <w:p w14:paraId="6EF7E7CD" w14:textId="77777777" w:rsidR="006962A4" w:rsidRPr="001630CB" w:rsidRDefault="006962A4"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37848F5F" w14:textId="3A735D56" w:rsidR="00C0697F" w:rsidRPr="001630CB" w:rsidRDefault="00C0697F" w:rsidP="001A535B">
      <w:pPr>
        <w:widowControl/>
        <w:tabs>
          <w:tab w:val="left" w:pos="720"/>
          <w:tab w:val="left" w:pos="1440"/>
          <w:tab w:val="left" w:pos="2160"/>
          <w:tab w:val="left" w:pos="2880"/>
          <w:tab w:val="left" w:pos="3600"/>
          <w:tab w:val="left" w:pos="4320"/>
          <w:tab w:val="left" w:pos="5040"/>
          <w:tab w:val="left" w:pos="5760"/>
          <w:tab w:val="left" w:pos="6480"/>
          <w:tab w:val="left" w:pos="7198"/>
        </w:tabs>
        <w:spacing w:line="276" w:lineRule="auto"/>
        <w:ind w:left="720" w:right="720"/>
        <w:jc w:val="both"/>
        <w:rPr>
          <w:sz w:val="24"/>
          <w:szCs w:val="24"/>
        </w:rPr>
      </w:pPr>
      <w:r w:rsidRPr="001630CB">
        <w:rPr>
          <w:sz w:val="24"/>
          <w:szCs w:val="24"/>
        </w:rPr>
        <w:t>“We acknowledge that it may not be possible to draw a neat line between scientific principles and experience-based testimony</w:t>
      </w:r>
      <w:r w:rsidR="00954C1C" w:rsidRPr="001630CB">
        <w:rPr>
          <w:sz w:val="24"/>
          <w:szCs w:val="24"/>
        </w:rPr>
        <w:t xml:space="preserve">. </w:t>
      </w:r>
      <w:r w:rsidRPr="001630CB">
        <w:rPr>
          <w:sz w:val="24"/>
          <w:szCs w:val="24"/>
        </w:rPr>
        <w:t xml:space="preserve">Indeed, it has been observed that the many cases applying </w:t>
      </w:r>
      <w:r w:rsidRPr="001630CB">
        <w:rPr>
          <w:i/>
          <w:iCs/>
          <w:sz w:val="24"/>
          <w:szCs w:val="24"/>
        </w:rPr>
        <w:t>Frye</w:t>
      </w:r>
      <w:r w:rsidRPr="001630CB">
        <w:rPr>
          <w:sz w:val="24"/>
          <w:szCs w:val="24"/>
        </w:rPr>
        <w:t xml:space="preserve"> to evidence based on scientific principles shed little light on exactly what a ‘scientific principle’ is . . . We do not imply that an expert is allowed to say anything he or she likes to a jury if the statement is prefaced by the words ‘in my experience.’ To allow an expert to say, based only on his or her alleged experience, that smoking does not cause lung cancer or that baldness is related to the phases of the moon would be to tolerate the admission of junk science and to undermine the basic purpose of </w:t>
      </w:r>
      <w:r w:rsidRPr="001630CB">
        <w:rPr>
          <w:i/>
          <w:iCs/>
          <w:sz w:val="24"/>
          <w:szCs w:val="24"/>
        </w:rPr>
        <w:t>Frye</w:t>
      </w:r>
      <w:r w:rsidR="006962A4" w:rsidRPr="001630CB">
        <w:rPr>
          <w:sz w:val="24"/>
          <w:szCs w:val="24"/>
        </w:rPr>
        <w:t xml:space="preserve">” </w:t>
      </w:r>
      <w:r w:rsidRPr="001630CB">
        <w:rPr>
          <w:sz w:val="24"/>
          <w:szCs w:val="24"/>
        </w:rPr>
        <w:t>(</w:t>
      </w:r>
      <w:r w:rsidRPr="001630CB">
        <w:rPr>
          <w:i/>
          <w:iCs/>
          <w:sz w:val="24"/>
          <w:szCs w:val="24"/>
        </w:rPr>
        <w:t>Oddone</w:t>
      </w:r>
      <w:r w:rsidRPr="001630CB">
        <w:rPr>
          <w:sz w:val="24"/>
          <w:szCs w:val="24"/>
        </w:rPr>
        <w:t>, 22 NY3d at 376).</w:t>
      </w:r>
    </w:p>
    <w:p w14:paraId="737CF890" w14:textId="77777777" w:rsidR="006962A4" w:rsidRPr="001630CB" w:rsidRDefault="006962A4" w:rsidP="001A535B">
      <w:pPr>
        <w:widowControl/>
        <w:tabs>
          <w:tab w:val="left" w:pos="720"/>
          <w:tab w:val="left" w:pos="1440"/>
          <w:tab w:val="left" w:pos="2160"/>
          <w:tab w:val="left" w:pos="2880"/>
          <w:tab w:val="left" w:pos="3600"/>
          <w:tab w:val="left" w:pos="4320"/>
          <w:tab w:val="left" w:pos="5040"/>
          <w:tab w:val="left" w:pos="5760"/>
          <w:tab w:val="left" w:pos="6480"/>
          <w:tab w:val="left" w:pos="7198"/>
        </w:tabs>
        <w:spacing w:line="276" w:lineRule="auto"/>
        <w:ind w:right="720"/>
        <w:jc w:val="both"/>
        <w:rPr>
          <w:sz w:val="24"/>
          <w:szCs w:val="24"/>
        </w:rPr>
      </w:pPr>
    </w:p>
    <w:p w14:paraId="1C58B057" w14:textId="035F21E9" w:rsidR="00C0697F" w:rsidRPr="001630CB" w:rsidRDefault="00C0697F" w:rsidP="001A535B">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t xml:space="preserve">The Court of Appeals has stressed that a </w:t>
      </w:r>
      <w:r w:rsidR="009511FB" w:rsidRPr="001630CB">
        <w:rPr>
          <w:i/>
          <w:iCs/>
          <w:sz w:val="24"/>
          <w:szCs w:val="24"/>
        </w:rPr>
        <w:t>Frye</w:t>
      </w:r>
      <w:r w:rsidRPr="001630CB">
        <w:rPr>
          <w:i/>
          <w:iCs/>
          <w:sz w:val="24"/>
          <w:szCs w:val="24"/>
        </w:rPr>
        <w:t xml:space="preserve"> </w:t>
      </w:r>
      <w:r w:rsidRPr="001630CB">
        <w:rPr>
          <w:sz w:val="24"/>
          <w:szCs w:val="24"/>
        </w:rPr>
        <w:t>inquiry, whether required or not, is “separate and distinct from the admissibility question applied to all evidence—whether there is a proper foundation—to determine whether the accepted methods were appropriately employed in a particular case</w:t>
      </w:r>
      <w:r w:rsidR="00F8714D" w:rsidRPr="001630CB">
        <w:rPr>
          <w:sz w:val="24"/>
          <w:szCs w:val="24"/>
        </w:rPr>
        <w:t>”</w:t>
      </w:r>
      <w:r w:rsidRPr="001630CB">
        <w:rPr>
          <w:sz w:val="24"/>
          <w:szCs w:val="24"/>
        </w:rPr>
        <w:t xml:space="preserve"> (</w:t>
      </w:r>
      <w:r w:rsidRPr="001630CB">
        <w:rPr>
          <w:i/>
          <w:iCs/>
          <w:sz w:val="24"/>
          <w:szCs w:val="24"/>
        </w:rPr>
        <w:t>Parker v Mobil Oil Corp.</w:t>
      </w:r>
      <w:r w:rsidRPr="001630CB">
        <w:rPr>
          <w:sz w:val="24"/>
          <w:szCs w:val="24"/>
        </w:rPr>
        <w:t>, 7 NY3d 434, 447 [2006])</w:t>
      </w:r>
      <w:r w:rsidR="001433EF" w:rsidRPr="001630CB">
        <w:rPr>
          <w:sz w:val="24"/>
          <w:szCs w:val="24"/>
        </w:rPr>
        <w:t>.</w:t>
      </w:r>
      <w:r w:rsidR="002A13D9" w:rsidRPr="001630CB">
        <w:rPr>
          <w:sz w:val="24"/>
          <w:szCs w:val="24"/>
        </w:rPr>
        <w:t xml:space="preserve"> </w:t>
      </w:r>
      <w:r w:rsidRPr="001630CB">
        <w:rPr>
          <w:sz w:val="24"/>
          <w:szCs w:val="24"/>
        </w:rPr>
        <w:t>The foundation is lacking if the trial court determines that “</w:t>
      </w:r>
      <w:r w:rsidR="00F8714D" w:rsidRPr="001630CB">
        <w:rPr>
          <w:sz w:val="24"/>
          <w:szCs w:val="24"/>
        </w:rPr>
        <w:t xml:space="preserve"> ‘</w:t>
      </w:r>
      <w:r w:rsidRPr="001630CB">
        <w:rPr>
          <w:sz w:val="24"/>
          <w:szCs w:val="24"/>
        </w:rPr>
        <w:t>there is simply too great an analytical gap between the data and the opinion proffered.’</w:t>
      </w:r>
      <w:r w:rsidR="00F8714D" w:rsidRPr="001630CB">
        <w:rPr>
          <w:sz w:val="24"/>
          <w:szCs w:val="24"/>
        </w:rPr>
        <w:t xml:space="preserve"> ”</w:t>
      </w:r>
      <w:r w:rsidRPr="001630CB">
        <w:rPr>
          <w:sz w:val="24"/>
          <w:szCs w:val="24"/>
        </w:rPr>
        <w:t xml:space="preserve"> (</w:t>
      </w:r>
      <w:r w:rsidRPr="001630CB">
        <w:rPr>
          <w:i/>
          <w:iCs/>
          <w:sz w:val="24"/>
          <w:szCs w:val="24"/>
        </w:rPr>
        <w:t>Cornell v 360 W. 51st St. Realty, LLC</w:t>
      </w:r>
      <w:r w:rsidRPr="001630CB">
        <w:rPr>
          <w:sz w:val="24"/>
          <w:szCs w:val="24"/>
        </w:rPr>
        <w:t xml:space="preserve">, 22 NY3d 762, 781 [2014], quoting </w:t>
      </w:r>
      <w:r w:rsidRPr="001630CB">
        <w:rPr>
          <w:i/>
          <w:iCs/>
          <w:sz w:val="24"/>
          <w:szCs w:val="24"/>
        </w:rPr>
        <w:t>General Electric Co. v Joiner</w:t>
      </w:r>
      <w:r w:rsidRPr="001630CB">
        <w:rPr>
          <w:sz w:val="24"/>
          <w:szCs w:val="24"/>
        </w:rPr>
        <w:t>, 522 US 136, 146 [1997].) The question boils down to whether the expert</w:t>
      </w:r>
      <w:r w:rsidR="00F8714D" w:rsidRPr="001630CB">
        <w:rPr>
          <w:sz w:val="24"/>
          <w:szCs w:val="24"/>
        </w:rPr>
        <w:t>’</w:t>
      </w:r>
      <w:r w:rsidRPr="001630CB">
        <w:rPr>
          <w:sz w:val="24"/>
          <w:szCs w:val="24"/>
        </w:rPr>
        <w:t xml:space="preserve">s opinion sufficiently relates to existing data or, to the contrary, “is connected to existing data only by the </w:t>
      </w:r>
      <w:r w:rsidRPr="001630CB">
        <w:rPr>
          <w:i/>
          <w:iCs/>
          <w:sz w:val="24"/>
          <w:szCs w:val="24"/>
        </w:rPr>
        <w:t>ipse dixit</w:t>
      </w:r>
      <w:r w:rsidRPr="001630CB">
        <w:rPr>
          <w:sz w:val="24"/>
          <w:szCs w:val="24"/>
        </w:rPr>
        <w:t xml:space="preserve"> [unproven word] of the expert.” (</w:t>
      </w:r>
      <w:r w:rsidRPr="001630CB">
        <w:rPr>
          <w:i/>
          <w:iCs/>
          <w:sz w:val="24"/>
          <w:szCs w:val="24"/>
        </w:rPr>
        <w:t>Joiner</w:t>
      </w:r>
      <w:r w:rsidRPr="001630CB">
        <w:rPr>
          <w:sz w:val="24"/>
          <w:szCs w:val="24"/>
        </w:rPr>
        <w:t>, 522 US at 1</w:t>
      </w:r>
      <w:r w:rsidR="002A13D9" w:rsidRPr="001630CB">
        <w:rPr>
          <w:sz w:val="24"/>
          <w:szCs w:val="24"/>
        </w:rPr>
        <w:t>46</w:t>
      </w:r>
      <w:r w:rsidRPr="001630CB">
        <w:rPr>
          <w:sz w:val="24"/>
          <w:szCs w:val="24"/>
        </w:rPr>
        <w:t xml:space="preserve">; </w:t>
      </w:r>
      <w:r w:rsidRPr="001630CB">
        <w:rPr>
          <w:i/>
          <w:iCs/>
          <w:sz w:val="24"/>
          <w:szCs w:val="24"/>
        </w:rPr>
        <w:t>see Brooks</w:t>
      </w:r>
      <w:r w:rsidRPr="001630CB">
        <w:rPr>
          <w:sz w:val="24"/>
          <w:szCs w:val="24"/>
        </w:rPr>
        <w:t>, 31 NY3d at 941.)</w:t>
      </w:r>
    </w:p>
    <w:p w14:paraId="1171AF2F" w14:textId="77777777" w:rsidR="006962A4" w:rsidRPr="001630CB" w:rsidRDefault="006962A4" w:rsidP="001A535B">
      <w:pPr>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515A4CAE" w14:textId="76D08960" w:rsidR="00C0697F" w:rsidRPr="001630CB" w:rsidRDefault="00C0697F"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t>Examples of accepted expert testimony include testimony that explains the following: the terminology used in the illegal drug trade (</w:t>
      </w:r>
      <w:r w:rsidRPr="001630CB">
        <w:rPr>
          <w:i/>
          <w:iCs/>
          <w:sz w:val="24"/>
          <w:szCs w:val="24"/>
        </w:rPr>
        <w:t>People v Garcia</w:t>
      </w:r>
      <w:r w:rsidRPr="001630CB">
        <w:rPr>
          <w:sz w:val="24"/>
          <w:szCs w:val="24"/>
        </w:rPr>
        <w:t xml:space="preserve">, 83 NY2d </w:t>
      </w:r>
      <w:r w:rsidRPr="001630CB">
        <w:rPr>
          <w:sz w:val="24"/>
          <w:szCs w:val="24"/>
        </w:rPr>
        <w:lastRenderedPageBreak/>
        <w:t>817 [1994]</w:t>
      </w:r>
      <w:r w:rsidR="002A13D9" w:rsidRPr="001630CB">
        <w:rPr>
          <w:sz w:val="24"/>
          <w:szCs w:val="24"/>
        </w:rPr>
        <w:t>)</w:t>
      </w:r>
      <w:r w:rsidRPr="001630CB">
        <w:rPr>
          <w:sz w:val="24"/>
          <w:szCs w:val="24"/>
        </w:rPr>
        <w:t>; the inconsistency of the quantity of drugs recovered and packaging with personal use (</w:t>
      </w:r>
      <w:r w:rsidRPr="001630CB">
        <w:rPr>
          <w:i/>
          <w:iCs/>
          <w:sz w:val="24"/>
          <w:szCs w:val="24"/>
        </w:rPr>
        <w:t>People v Hicks</w:t>
      </w:r>
      <w:r w:rsidRPr="001630CB">
        <w:rPr>
          <w:sz w:val="24"/>
          <w:szCs w:val="24"/>
        </w:rPr>
        <w:t>, 2 NY3d 750 [2004]); the significance of the absence of the buy money in an undercover “buy and bust” when the reason for its absence is not inferable from the circumstances (</w:t>
      </w:r>
      <w:r w:rsidRPr="001630CB">
        <w:rPr>
          <w:i/>
          <w:iCs/>
          <w:sz w:val="24"/>
          <w:szCs w:val="24"/>
        </w:rPr>
        <w:t>People v Brown</w:t>
      </w:r>
      <w:r w:rsidRPr="001630CB">
        <w:rPr>
          <w:sz w:val="24"/>
          <w:szCs w:val="24"/>
        </w:rPr>
        <w:t xml:space="preserve">, 97 NY2d 500 [2002]; </w:t>
      </w:r>
      <w:r w:rsidRPr="001630CB">
        <w:rPr>
          <w:i/>
          <w:iCs/>
          <w:sz w:val="24"/>
          <w:szCs w:val="24"/>
        </w:rPr>
        <w:t>cf. People v Gonzalez</w:t>
      </w:r>
      <w:r w:rsidRPr="001630CB">
        <w:rPr>
          <w:sz w:val="24"/>
          <w:szCs w:val="24"/>
        </w:rPr>
        <w:t xml:space="preserve">, 99 NY2d 76 [2002]; </w:t>
      </w:r>
      <w:r w:rsidRPr="001630CB">
        <w:rPr>
          <w:i/>
          <w:iCs/>
          <w:sz w:val="24"/>
          <w:szCs w:val="24"/>
        </w:rPr>
        <w:t>People v Smith</w:t>
      </w:r>
      <w:r w:rsidRPr="001630CB">
        <w:rPr>
          <w:sz w:val="24"/>
          <w:szCs w:val="24"/>
        </w:rPr>
        <w:t>, 2 NY3d 8 [2004]); the impact on the ability to act with the requisite intent when a defendant had consumed up to a case of beer, smoked several marijuana cigarettes, and ingested 5 to 10 Valium (</w:t>
      </w:r>
      <w:r w:rsidRPr="001630CB">
        <w:rPr>
          <w:i/>
          <w:iCs/>
          <w:sz w:val="24"/>
          <w:szCs w:val="24"/>
        </w:rPr>
        <w:t>People v Cronin</w:t>
      </w:r>
      <w:r w:rsidRPr="001630CB">
        <w:rPr>
          <w:sz w:val="24"/>
          <w:szCs w:val="24"/>
        </w:rPr>
        <w:t>, 60 NY2d 430, 432 [1983]); the “range of psychological reactions of child victims who suffer from sexual abuse at the hands of their stepparents</w:t>
      </w:r>
      <w:r w:rsidR="00F8714D" w:rsidRPr="001630CB">
        <w:rPr>
          <w:sz w:val="24"/>
          <w:szCs w:val="24"/>
        </w:rPr>
        <w:t>”</w:t>
      </w:r>
      <w:r w:rsidRPr="001630CB">
        <w:rPr>
          <w:sz w:val="24"/>
          <w:szCs w:val="24"/>
        </w:rPr>
        <w:t xml:space="preserve"> (</w:t>
      </w:r>
      <w:r w:rsidRPr="001630CB">
        <w:rPr>
          <w:i/>
          <w:iCs/>
          <w:sz w:val="24"/>
          <w:szCs w:val="24"/>
        </w:rPr>
        <w:t>People v Keindl</w:t>
      </w:r>
      <w:r w:rsidRPr="001630CB">
        <w:rPr>
          <w:sz w:val="24"/>
          <w:szCs w:val="24"/>
        </w:rPr>
        <w:t>, 68 NY2d 410, 422 [1986]); the “sexually abused child syndrome</w:t>
      </w:r>
      <w:r w:rsidR="00F8714D" w:rsidRPr="001630CB">
        <w:rPr>
          <w:sz w:val="24"/>
          <w:szCs w:val="24"/>
        </w:rPr>
        <w:t>”</w:t>
      </w:r>
      <w:r w:rsidRPr="001630CB">
        <w:rPr>
          <w:sz w:val="24"/>
          <w:szCs w:val="24"/>
        </w:rPr>
        <w:t xml:space="preserve"> (</w:t>
      </w:r>
      <w:r w:rsidRPr="001630CB">
        <w:rPr>
          <w:i/>
          <w:iCs/>
          <w:sz w:val="24"/>
          <w:szCs w:val="24"/>
        </w:rPr>
        <w:t>Matter of Nicole V.</w:t>
      </w:r>
      <w:r w:rsidRPr="001630CB">
        <w:rPr>
          <w:sz w:val="24"/>
          <w:szCs w:val="24"/>
        </w:rPr>
        <w:t>, 71 NY2d 112 [1987]); whether a fire was intentionally set (</w:t>
      </w:r>
      <w:r w:rsidRPr="001630CB">
        <w:rPr>
          <w:i/>
          <w:iCs/>
          <w:sz w:val="24"/>
          <w:szCs w:val="24"/>
        </w:rPr>
        <w:t>People v Rivers</w:t>
      </w:r>
      <w:r w:rsidRPr="001630CB">
        <w:rPr>
          <w:sz w:val="24"/>
          <w:szCs w:val="24"/>
        </w:rPr>
        <w:t>, 18 NY3d 222 [2011]); an estimated time of a victim’s death (</w:t>
      </w:r>
      <w:r w:rsidRPr="001630CB">
        <w:rPr>
          <w:i/>
          <w:iCs/>
          <w:sz w:val="24"/>
          <w:szCs w:val="24"/>
        </w:rPr>
        <w:t>People v Miller</w:t>
      </w:r>
      <w:r w:rsidRPr="001630CB">
        <w:rPr>
          <w:sz w:val="24"/>
          <w:szCs w:val="24"/>
        </w:rPr>
        <w:t>, 91 NY2d 372 [1998]</w:t>
      </w:r>
      <w:r w:rsidR="00296F80" w:rsidRPr="001630CB">
        <w:rPr>
          <w:sz w:val="24"/>
          <w:szCs w:val="24"/>
        </w:rPr>
        <w:t>)</w:t>
      </w:r>
      <w:r w:rsidRPr="001630CB">
        <w:rPr>
          <w:sz w:val="24"/>
          <w:szCs w:val="24"/>
        </w:rPr>
        <w:t>; GPS evidence (</w:t>
      </w:r>
      <w:r w:rsidR="002A13D9" w:rsidRPr="001630CB">
        <w:rPr>
          <w:i/>
          <w:iCs/>
          <w:sz w:val="24"/>
          <w:szCs w:val="24"/>
        </w:rPr>
        <w:t xml:space="preserve">Matter of </w:t>
      </w:r>
      <w:r w:rsidRPr="001630CB">
        <w:rPr>
          <w:i/>
          <w:iCs/>
          <w:sz w:val="24"/>
          <w:szCs w:val="24"/>
        </w:rPr>
        <w:t>Carniol v New York City Taxi &amp; Limousine Commn</w:t>
      </w:r>
      <w:r w:rsidRPr="001630CB">
        <w:rPr>
          <w:sz w:val="24"/>
          <w:szCs w:val="24"/>
        </w:rPr>
        <w:t>., 126 AD3d 409, 410-411 [1st Dept 2015]); and the mechanism of an injury or physiological process by which an injury occurs (</w:t>
      </w:r>
      <w:r w:rsidRPr="001630CB">
        <w:rPr>
          <w:i/>
          <w:iCs/>
          <w:sz w:val="24"/>
          <w:szCs w:val="24"/>
        </w:rPr>
        <w:t>Sadek v Wesley</w:t>
      </w:r>
      <w:r w:rsidRPr="001630CB">
        <w:rPr>
          <w:sz w:val="24"/>
          <w:szCs w:val="24"/>
        </w:rPr>
        <w:t xml:space="preserve">, 117 AD3d 193, 201 [1st Dept 2014], </w:t>
      </w:r>
      <w:r w:rsidRPr="001630CB">
        <w:rPr>
          <w:i/>
          <w:iCs/>
          <w:sz w:val="24"/>
          <w:szCs w:val="24"/>
        </w:rPr>
        <w:t>affd</w:t>
      </w:r>
      <w:r w:rsidRPr="001630CB">
        <w:rPr>
          <w:sz w:val="24"/>
          <w:szCs w:val="24"/>
        </w:rPr>
        <w:t xml:space="preserve"> 27 NY3d 982, 983-984 [2016]).</w:t>
      </w:r>
    </w:p>
    <w:p w14:paraId="5F936E07" w14:textId="77777777" w:rsidR="001C7076" w:rsidRPr="001630CB" w:rsidRDefault="001C7076"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4F786F4" w14:textId="39331F9C" w:rsidR="00F8326C" w:rsidRPr="001630CB" w:rsidRDefault="00B96ABA"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lang w:val="x-none"/>
        </w:rPr>
        <w:tab/>
      </w:r>
      <w:r w:rsidRPr="001630CB">
        <w:rPr>
          <w:sz w:val="24"/>
          <w:szCs w:val="24"/>
        </w:rPr>
        <w:t xml:space="preserve">Notwithstanding that </w:t>
      </w:r>
      <w:r w:rsidR="00DA2789" w:rsidRPr="001630CB">
        <w:rPr>
          <w:sz w:val="24"/>
          <w:szCs w:val="24"/>
        </w:rPr>
        <w:t>expert evidence on a particular subject has been accepted</w:t>
      </w:r>
      <w:r w:rsidR="00F457B3" w:rsidRPr="001630CB">
        <w:rPr>
          <w:sz w:val="24"/>
          <w:szCs w:val="24"/>
        </w:rPr>
        <w:t xml:space="preserve">, </w:t>
      </w:r>
      <w:r w:rsidR="000A36B2" w:rsidRPr="001630CB">
        <w:rPr>
          <w:sz w:val="24"/>
          <w:szCs w:val="24"/>
        </w:rPr>
        <w:t xml:space="preserve">the Court of Appeals has explained that </w:t>
      </w:r>
      <w:r w:rsidR="001832B5" w:rsidRPr="001630CB">
        <w:rPr>
          <w:sz w:val="24"/>
          <w:szCs w:val="24"/>
        </w:rPr>
        <w:t>“</w:t>
      </w:r>
      <w:r w:rsidR="00F12A0B" w:rsidRPr="001630CB">
        <w:rPr>
          <w:sz w:val="24"/>
          <w:szCs w:val="24"/>
        </w:rPr>
        <w:t>our</w:t>
      </w:r>
      <w:r w:rsidR="001832B5" w:rsidRPr="001630CB">
        <w:rPr>
          <w:sz w:val="24"/>
          <w:szCs w:val="24"/>
        </w:rPr>
        <w:t xml:space="preserve"> </w:t>
      </w:r>
      <w:r w:rsidR="00F12A0B" w:rsidRPr="001630CB">
        <w:rPr>
          <w:i/>
          <w:iCs/>
          <w:sz w:val="24"/>
          <w:szCs w:val="24"/>
        </w:rPr>
        <w:t>Frye</w:t>
      </w:r>
      <w:r w:rsidR="001832B5" w:rsidRPr="001630CB">
        <w:rPr>
          <w:i/>
          <w:iCs/>
          <w:sz w:val="24"/>
          <w:szCs w:val="24"/>
        </w:rPr>
        <w:t xml:space="preserve"> </w:t>
      </w:r>
      <w:r w:rsidR="00F12A0B" w:rsidRPr="001630CB">
        <w:rPr>
          <w:sz w:val="24"/>
          <w:szCs w:val="24"/>
        </w:rPr>
        <w:t>jurisprudence accounts for the fact that evolving views and opinions in a scientific community may occasionally require the scrutiny of a </w:t>
      </w:r>
      <w:r w:rsidR="00F12A0B" w:rsidRPr="001630CB">
        <w:rPr>
          <w:i/>
          <w:iCs/>
          <w:sz w:val="24"/>
          <w:szCs w:val="24"/>
        </w:rPr>
        <w:t>Frye</w:t>
      </w:r>
      <w:r w:rsidR="00F12A0B" w:rsidRPr="001630CB">
        <w:rPr>
          <w:sz w:val="24"/>
          <w:szCs w:val="24"/>
        </w:rPr>
        <w:t> hearing with respect to a familiar technique.</w:t>
      </w:r>
      <w:r w:rsidR="004A4A33" w:rsidRPr="001630CB">
        <w:rPr>
          <w:sz w:val="24"/>
          <w:szCs w:val="24"/>
        </w:rPr>
        <w:t xml:space="preserve"> </w:t>
      </w:r>
      <w:r w:rsidR="00F12A0B" w:rsidRPr="001630CB">
        <w:rPr>
          <w:sz w:val="24"/>
          <w:szCs w:val="24"/>
        </w:rPr>
        <w:t>There is no absolute rule as to when a </w:t>
      </w:r>
      <w:r w:rsidR="00F12A0B" w:rsidRPr="001630CB">
        <w:rPr>
          <w:i/>
          <w:iCs/>
          <w:sz w:val="24"/>
          <w:szCs w:val="24"/>
        </w:rPr>
        <w:t>Frye</w:t>
      </w:r>
      <w:r w:rsidR="00F12A0B" w:rsidRPr="001630CB">
        <w:rPr>
          <w:sz w:val="24"/>
          <w:szCs w:val="24"/>
        </w:rPr>
        <w:t> hearing should or should not be granted, and courts should be guided by the current state of scientific knowledge and opinion in making such determinations.</w:t>
      </w:r>
      <w:r w:rsidR="00C55DFC" w:rsidRPr="001630CB">
        <w:rPr>
          <w:sz w:val="24"/>
          <w:szCs w:val="24"/>
        </w:rPr>
        <w:t xml:space="preserve"> </w:t>
      </w:r>
      <w:r w:rsidR="00F12A0B" w:rsidRPr="001630CB">
        <w:rPr>
          <w:sz w:val="24"/>
          <w:szCs w:val="24"/>
        </w:rPr>
        <w:t>Indeed, admissibility even after a finding of general acceptance through a </w:t>
      </w:r>
      <w:r w:rsidR="00F12A0B" w:rsidRPr="001630CB">
        <w:rPr>
          <w:i/>
          <w:iCs/>
          <w:sz w:val="24"/>
          <w:szCs w:val="24"/>
        </w:rPr>
        <w:t>Frye</w:t>
      </w:r>
      <w:r w:rsidR="00F12A0B" w:rsidRPr="001630CB">
        <w:rPr>
          <w:sz w:val="24"/>
          <w:szCs w:val="24"/>
        </w:rPr>
        <w:t> hearing is not always automatic.</w:t>
      </w:r>
      <w:r w:rsidR="00C55DFC" w:rsidRPr="001630CB">
        <w:rPr>
          <w:sz w:val="24"/>
          <w:szCs w:val="24"/>
        </w:rPr>
        <w:t xml:space="preserve"> </w:t>
      </w:r>
      <w:r w:rsidR="00F12A0B" w:rsidRPr="001630CB">
        <w:rPr>
          <w:sz w:val="24"/>
          <w:szCs w:val="24"/>
        </w:rPr>
        <w:t>Recent questioning of previously accepted techniques related to hair comparisons, fire origin, comparative bullet lead analysis, bite mark matching, and bloodstain-pattern analysis illustrates that point; all of those analyses have long been accepted within their relevant scientific communities but recently have come into varying degrees of question</w:t>
      </w:r>
      <w:r w:rsidR="001832B5" w:rsidRPr="001630CB">
        <w:rPr>
          <w:sz w:val="24"/>
          <w:szCs w:val="24"/>
        </w:rPr>
        <w:t>”</w:t>
      </w:r>
      <w:r w:rsidR="00165691" w:rsidRPr="001630CB">
        <w:rPr>
          <w:sz w:val="24"/>
          <w:szCs w:val="24"/>
        </w:rPr>
        <w:t xml:space="preserve"> </w:t>
      </w:r>
      <w:r w:rsidR="006350AA" w:rsidRPr="001630CB">
        <w:rPr>
          <w:sz w:val="24"/>
          <w:szCs w:val="24"/>
        </w:rPr>
        <w:t>(</w:t>
      </w:r>
      <w:r w:rsidR="00F8326C" w:rsidRPr="001630CB">
        <w:rPr>
          <w:i/>
          <w:sz w:val="24"/>
          <w:szCs w:val="24"/>
          <w:lang w:val="x-none"/>
        </w:rPr>
        <w:t>People v Williams</w:t>
      </w:r>
      <w:r w:rsidR="00F8326C" w:rsidRPr="001630CB">
        <w:rPr>
          <w:iCs/>
          <w:sz w:val="24"/>
          <w:szCs w:val="24"/>
          <w:lang w:val="x-none"/>
        </w:rPr>
        <w:t>,</w:t>
      </w:r>
      <w:r w:rsidR="00F8326C" w:rsidRPr="001630CB">
        <w:rPr>
          <w:i/>
          <w:sz w:val="24"/>
          <w:szCs w:val="24"/>
          <w:lang w:val="x-none"/>
        </w:rPr>
        <w:t xml:space="preserve"> </w:t>
      </w:r>
      <w:r w:rsidR="00F8326C" w:rsidRPr="001630CB">
        <w:rPr>
          <w:sz w:val="24"/>
          <w:szCs w:val="24"/>
          <w:lang w:val="x-none"/>
        </w:rPr>
        <w:t xml:space="preserve">35 NY3d 24, </w:t>
      </w:r>
      <w:r w:rsidR="00F12A0B" w:rsidRPr="001630CB">
        <w:rPr>
          <w:sz w:val="24"/>
          <w:szCs w:val="24"/>
        </w:rPr>
        <w:t>43</w:t>
      </w:r>
      <w:r w:rsidR="001051A3" w:rsidRPr="001630CB">
        <w:rPr>
          <w:sz w:val="24"/>
          <w:szCs w:val="24"/>
        </w:rPr>
        <w:t xml:space="preserve"> [</w:t>
      </w:r>
      <w:r w:rsidR="00F8326C" w:rsidRPr="001630CB">
        <w:rPr>
          <w:sz w:val="24"/>
          <w:szCs w:val="24"/>
          <w:lang w:val="x-none"/>
        </w:rPr>
        <w:t>2020</w:t>
      </w:r>
      <w:r w:rsidR="001051A3" w:rsidRPr="001630CB">
        <w:rPr>
          <w:sz w:val="24"/>
          <w:szCs w:val="24"/>
        </w:rPr>
        <w:t>]</w:t>
      </w:r>
      <w:r w:rsidR="006350AA" w:rsidRPr="001630CB">
        <w:rPr>
          <w:sz w:val="24"/>
          <w:szCs w:val="24"/>
        </w:rPr>
        <w:t>).</w:t>
      </w:r>
    </w:p>
    <w:p w14:paraId="103C884E" w14:textId="77777777" w:rsidR="006962A4" w:rsidRPr="001630CB" w:rsidRDefault="006962A4"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7D45CAAF" w14:textId="15E8FCFB" w:rsidR="00C0697F" w:rsidRPr="001630CB" w:rsidRDefault="00C0697F"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r>
      <w:r w:rsidRPr="001630CB">
        <w:rPr>
          <w:b/>
          <w:bCs/>
          <w:sz w:val="24"/>
          <w:szCs w:val="24"/>
        </w:rPr>
        <w:t>Subdivision (3)</w:t>
      </w:r>
      <w:r w:rsidRPr="001630CB">
        <w:rPr>
          <w:sz w:val="24"/>
          <w:szCs w:val="24"/>
        </w:rPr>
        <w:t xml:space="preserve"> is derived from Court of Appeals cases that indicate that, once the criteria for admissibility are demonstrated, it matters not that the testimony may appear to invade the province of the jury or constitute evidence of the “ultimate” issue in the case</w:t>
      </w:r>
      <w:r w:rsidR="005338C8" w:rsidRPr="001630CB">
        <w:rPr>
          <w:sz w:val="24"/>
          <w:szCs w:val="24"/>
        </w:rPr>
        <w:t xml:space="preserve">. </w:t>
      </w:r>
      <w:r w:rsidRPr="001630CB">
        <w:rPr>
          <w:sz w:val="24"/>
          <w:szCs w:val="24"/>
        </w:rPr>
        <w:t>(</w:t>
      </w:r>
      <w:r w:rsidRPr="001630CB">
        <w:rPr>
          <w:i/>
          <w:iCs/>
          <w:sz w:val="24"/>
          <w:szCs w:val="24"/>
        </w:rPr>
        <w:t>People v Hicks</w:t>
      </w:r>
      <w:r w:rsidRPr="001630CB">
        <w:rPr>
          <w:sz w:val="24"/>
          <w:szCs w:val="24"/>
        </w:rPr>
        <w:t>, 2 NY3d 750, 751 [2004] [“Since the expert testimony was beyond the ken of the average juror, it matters not whether the testimony related to the ultimate issue in the case</w:t>
      </w:r>
      <w:r w:rsidR="00F8714D" w:rsidRPr="001630CB">
        <w:rPr>
          <w:sz w:val="24"/>
          <w:szCs w:val="24"/>
        </w:rPr>
        <w:t>”</w:t>
      </w:r>
      <w:r w:rsidRPr="001630CB">
        <w:rPr>
          <w:sz w:val="24"/>
          <w:szCs w:val="24"/>
        </w:rPr>
        <w:t xml:space="preserve">]; </w:t>
      </w:r>
      <w:r w:rsidRPr="001630CB">
        <w:rPr>
          <w:i/>
          <w:iCs/>
          <w:sz w:val="24"/>
          <w:szCs w:val="24"/>
        </w:rPr>
        <w:t>People v Cronin</w:t>
      </w:r>
      <w:r w:rsidRPr="001630CB">
        <w:rPr>
          <w:sz w:val="24"/>
          <w:szCs w:val="24"/>
        </w:rPr>
        <w:t>, 60 NY2d at 433 [trial court erred in precluding an opinion on the grounds that it “went to the ultimate qu</w:t>
      </w:r>
      <w:r w:rsidR="00F8714D" w:rsidRPr="001630CB">
        <w:rPr>
          <w:sz w:val="24"/>
          <w:szCs w:val="24"/>
        </w:rPr>
        <w:t>estion and would usurp the jury’</w:t>
      </w:r>
      <w:r w:rsidRPr="001630CB">
        <w:rPr>
          <w:sz w:val="24"/>
          <w:szCs w:val="24"/>
        </w:rPr>
        <w:t xml:space="preserve">s function”]; </w:t>
      </w:r>
      <w:r w:rsidRPr="001630CB">
        <w:rPr>
          <w:i/>
          <w:iCs/>
          <w:sz w:val="24"/>
          <w:szCs w:val="24"/>
        </w:rPr>
        <w:t>Dufel v Green</w:t>
      </w:r>
      <w:r w:rsidRPr="001630CB">
        <w:rPr>
          <w:sz w:val="24"/>
          <w:szCs w:val="24"/>
        </w:rPr>
        <w:t xml:space="preserve">, 84 NY2d 795, 797 [1995] </w:t>
      </w:r>
      <w:r w:rsidR="00F8714D" w:rsidRPr="001630CB">
        <w:rPr>
          <w:sz w:val="24"/>
          <w:szCs w:val="24"/>
        </w:rPr>
        <w:t>[It was not error for plaintiff’</w:t>
      </w:r>
      <w:r w:rsidRPr="001630CB">
        <w:rPr>
          <w:sz w:val="24"/>
          <w:szCs w:val="24"/>
        </w:rPr>
        <w:t xml:space="preserve">s doctors to testify to “two of the statutory components of the ‘serious injury’ threshold as defined by Insurance Law § 5102 (d)”]; </w:t>
      </w:r>
      <w:r w:rsidRPr="001630CB">
        <w:rPr>
          <w:i/>
          <w:iCs/>
          <w:sz w:val="24"/>
          <w:szCs w:val="24"/>
        </w:rPr>
        <w:t>see People v Jones</w:t>
      </w:r>
      <w:r w:rsidRPr="001630CB">
        <w:rPr>
          <w:sz w:val="24"/>
          <w:szCs w:val="24"/>
        </w:rPr>
        <w:t xml:space="preserve">, 73 NY2d 427, 430-431 [1989] [“Expert opinion </w:t>
      </w:r>
      <w:r w:rsidRPr="001630CB">
        <w:rPr>
          <w:sz w:val="24"/>
          <w:szCs w:val="24"/>
        </w:rPr>
        <w:lastRenderedPageBreak/>
        <w:t>testimony is used in pa</w:t>
      </w:r>
      <w:r w:rsidR="00F8714D" w:rsidRPr="001630CB">
        <w:rPr>
          <w:sz w:val="24"/>
          <w:szCs w:val="24"/>
        </w:rPr>
        <w:t>rtial substitution for the jury’</w:t>
      </w:r>
      <w:r w:rsidRPr="001630CB">
        <w:rPr>
          <w:sz w:val="24"/>
          <w:szCs w:val="24"/>
        </w:rPr>
        <w:t xml:space="preserve">s otherwise exclusive province which is to draw ‘conclusions from the facts’ . . . It is a kind of authorized encroachment in that respect”]; </w:t>
      </w:r>
      <w:r w:rsidRPr="001630CB">
        <w:rPr>
          <w:i/>
          <w:iCs/>
          <w:sz w:val="24"/>
          <w:szCs w:val="24"/>
        </w:rPr>
        <w:t>People v Lee</w:t>
      </w:r>
      <w:r w:rsidRPr="001630CB">
        <w:rPr>
          <w:sz w:val="24"/>
          <w:szCs w:val="24"/>
        </w:rPr>
        <w:t xml:space="preserve">, 96 NY2d 157, 162 [2001]; </w:t>
      </w:r>
      <w:r w:rsidRPr="001630CB">
        <w:rPr>
          <w:i/>
          <w:iCs/>
          <w:sz w:val="24"/>
          <w:szCs w:val="24"/>
        </w:rPr>
        <w:t>People v Hicks</w:t>
      </w:r>
      <w:r w:rsidRPr="001630CB">
        <w:rPr>
          <w:sz w:val="24"/>
          <w:szCs w:val="24"/>
        </w:rPr>
        <w:t xml:space="preserve">, 2 NY3d 750, 751 [2004]; </w:t>
      </w:r>
      <w:r w:rsidRPr="001630CB">
        <w:rPr>
          <w:i/>
          <w:iCs/>
          <w:sz w:val="24"/>
          <w:szCs w:val="24"/>
        </w:rPr>
        <w:t>People v Rivers</w:t>
      </w:r>
      <w:r w:rsidRPr="001630CB">
        <w:rPr>
          <w:sz w:val="24"/>
          <w:szCs w:val="24"/>
        </w:rPr>
        <w:t>, 18 NY3d at 228.)</w:t>
      </w:r>
    </w:p>
    <w:p w14:paraId="797D9E2C" w14:textId="77777777" w:rsidR="006962A4" w:rsidRPr="001630CB" w:rsidRDefault="006962A4"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329EEE6" w14:textId="45DD49FD" w:rsidR="00C0697F" w:rsidRPr="001630CB" w:rsidRDefault="00C0697F"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r>
      <w:r w:rsidRPr="001630CB">
        <w:rPr>
          <w:b/>
          <w:bCs/>
          <w:sz w:val="24"/>
          <w:szCs w:val="24"/>
        </w:rPr>
        <w:t>Subdivision (4)</w:t>
      </w:r>
      <w:r w:rsidRPr="001630CB">
        <w:rPr>
          <w:sz w:val="24"/>
          <w:szCs w:val="24"/>
        </w:rPr>
        <w:t xml:space="preserve"> is taken from</w:t>
      </w:r>
      <w:r w:rsidRPr="001630CB">
        <w:rPr>
          <w:i/>
          <w:iCs/>
          <w:sz w:val="24"/>
          <w:szCs w:val="24"/>
        </w:rPr>
        <w:t xml:space="preserve"> Matter of Anthony M.</w:t>
      </w:r>
      <w:r w:rsidRPr="001630CB">
        <w:rPr>
          <w:sz w:val="24"/>
          <w:szCs w:val="24"/>
        </w:rPr>
        <w:t xml:space="preserve"> (63 NY2d 270, 280-281 [1984] [“Though sometimes perceptible to lay witnesses . . . the progression from injury to death, often unseen and not readily comprehended, will generally be a subject for expert medical opinion</w:t>
      </w:r>
      <w:r w:rsidR="001433EF" w:rsidRPr="001630CB">
        <w:rPr>
          <w:sz w:val="24"/>
          <w:szCs w:val="24"/>
        </w:rPr>
        <w:t>.</w:t>
      </w:r>
      <w:r w:rsidR="006249FC" w:rsidRPr="001630CB">
        <w:rPr>
          <w:sz w:val="24"/>
          <w:szCs w:val="24"/>
        </w:rPr>
        <w:t xml:space="preserve"> </w:t>
      </w:r>
      <w:r w:rsidRPr="001630CB">
        <w:rPr>
          <w:sz w:val="24"/>
          <w:szCs w:val="24"/>
        </w:rPr>
        <w:t xml:space="preserve">To establish a causal connection, conclusions which are only </w:t>
      </w:r>
      <w:r w:rsidR="006249FC" w:rsidRPr="001630CB">
        <w:rPr>
          <w:sz w:val="24"/>
          <w:szCs w:val="24"/>
        </w:rPr>
        <w:t>‘</w:t>
      </w:r>
      <w:r w:rsidRPr="001630CB">
        <w:rPr>
          <w:sz w:val="24"/>
          <w:szCs w:val="24"/>
        </w:rPr>
        <w:t>contingent, speculative, or merely possible</w:t>
      </w:r>
      <w:r w:rsidR="006249FC" w:rsidRPr="001630CB">
        <w:rPr>
          <w:sz w:val="24"/>
          <w:szCs w:val="24"/>
        </w:rPr>
        <w:t>’</w:t>
      </w:r>
      <w:r w:rsidRPr="001630CB">
        <w:rPr>
          <w:sz w:val="24"/>
          <w:szCs w:val="24"/>
        </w:rPr>
        <w:t xml:space="preserve"> . . . will not suffice, but neither is absolute certainty and the exclusion of every other possibility required”])</w:t>
      </w:r>
      <w:r w:rsidR="001433EF" w:rsidRPr="001630CB">
        <w:rPr>
          <w:sz w:val="24"/>
          <w:szCs w:val="24"/>
        </w:rPr>
        <w:t>.</w:t>
      </w:r>
      <w:r w:rsidR="006249FC" w:rsidRPr="001630CB">
        <w:rPr>
          <w:sz w:val="24"/>
          <w:szCs w:val="24"/>
        </w:rPr>
        <w:t xml:space="preserve"> </w:t>
      </w:r>
      <w:r w:rsidRPr="001630CB">
        <w:rPr>
          <w:sz w:val="24"/>
          <w:szCs w:val="24"/>
        </w:rPr>
        <w:t>A reasonable degree of certainty within the subject field of the testimony should suffice (</w:t>
      </w:r>
      <w:r w:rsidRPr="001630CB">
        <w:rPr>
          <w:i/>
          <w:iCs/>
          <w:sz w:val="24"/>
          <w:szCs w:val="24"/>
        </w:rPr>
        <w:t>Matott v Ward</w:t>
      </w:r>
      <w:r w:rsidRPr="001630CB">
        <w:rPr>
          <w:sz w:val="24"/>
          <w:szCs w:val="24"/>
        </w:rPr>
        <w:t>, 48 NY2d 455, 459-460 [1979] [“Granted that ‘a reasonable degree of medical certainty’ is one expression of such a standard . . . it is not, however, the only way in which a level of certainty that meets the rule may be stated. . . . (A)ny formulation from which it can be said that the witness</w:t>
      </w:r>
      <w:r w:rsidR="00F8714D" w:rsidRPr="001630CB">
        <w:rPr>
          <w:sz w:val="24"/>
          <w:szCs w:val="24"/>
        </w:rPr>
        <w:t>’</w:t>
      </w:r>
      <w:r w:rsidRPr="001630CB">
        <w:rPr>
          <w:sz w:val="24"/>
          <w:szCs w:val="24"/>
        </w:rPr>
        <w:t xml:space="preserve"> </w:t>
      </w:r>
      <w:r w:rsidR="00F8714D" w:rsidRPr="001630CB">
        <w:rPr>
          <w:sz w:val="24"/>
          <w:szCs w:val="24"/>
        </w:rPr>
        <w:t>‘</w:t>
      </w:r>
      <w:r w:rsidRPr="001630CB">
        <w:rPr>
          <w:sz w:val="24"/>
          <w:szCs w:val="24"/>
        </w:rPr>
        <w:t>whole opinion</w:t>
      </w:r>
      <w:r w:rsidR="00F8714D" w:rsidRPr="001630CB">
        <w:rPr>
          <w:sz w:val="24"/>
          <w:szCs w:val="24"/>
        </w:rPr>
        <w:t>’</w:t>
      </w:r>
      <w:r w:rsidRPr="001630CB">
        <w:rPr>
          <w:sz w:val="24"/>
          <w:szCs w:val="24"/>
        </w:rPr>
        <w:t xml:space="preserve"> reflects an acceptable level of certainty (will suffice),” and the weight of the testimony is then to be assessed by the trier of fact]; </w:t>
      </w:r>
      <w:r w:rsidRPr="001630CB">
        <w:rPr>
          <w:i/>
          <w:iCs/>
          <w:sz w:val="24"/>
          <w:szCs w:val="24"/>
        </w:rPr>
        <w:t>People v Brown</w:t>
      </w:r>
      <w:r w:rsidRPr="001630CB">
        <w:rPr>
          <w:sz w:val="24"/>
          <w:szCs w:val="24"/>
        </w:rPr>
        <w:t>, 67 NY2d 555, 560 [1986]).</w:t>
      </w:r>
    </w:p>
    <w:p w14:paraId="5ABEE391" w14:textId="77777777" w:rsidR="006962A4" w:rsidRPr="001630CB" w:rsidRDefault="006962A4"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82D0EBC" w14:textId="577CBD3D" w:rsidR="00C0697F" w:rsidRPr="001630CB" w:rsidRDefault="00C0697F"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b/>
          <w:bCs/>
          <w:sz w:val="24"/>
          <w:szCs w:val="24"/>
        </w:rPr>
        <w:tab/>
        <w:t>Subdivision (5)</w:t>
      </w:r>
      <w:r w:rsidRPr="001630CB">
        <w:rPr>
          <w:sz w:val="24"/>
          <w:szCs w:val="24"/>
        </w:rPr>
        <w:t xml:space="preserve"> derives primarily from a series of Court of Appeals cases.</w:t>
      </w:r>
    </w:p>
    <w:p w14:paraId="239B3311" w14:textId="77777777" w:rsidR="00F6789F" w:rsidRPr="001630CB" w:rsidRDefault="00F6789F" w:rsidP="001A53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1402D4D1" w14:textId="2A147D18" w:rsidR="00C0697F" w:rsidRPr="001630CB" w:rsidRDefault="006F34EE" w:rsidP="006F34EE">
      <w:pPr>
        <w:widowControl/>
        <w:shd w:val="clear" w:color="auto" w:fill="FFFFFF"/>
        <w:tabs>
          <w:tab w:val="left" w:pos="720"/>
        </w:tabs>
        <w:autoSpaceDE/>
        <w:autoSpaceDN/>
        <w:adjustRightInd/>
        <w:spacing w:line="276" w:lineRule="auto"/>
        <w:jc w:val="both"/>
        <w:rPr>
          <w:rFonts w:eastAsia="Times New Roman"/>
          <w:sz w:val="24"/>
          <w:szCs w:val="24"/>
        </w:rPr>
      </w:pPr>
      <w:r w:rsidRPr="001630CB">
        <w:rPr>
          <w:b/>
          <w:bCs/>
          <w:sz w:val="24"/>
          <w:szCs w:val="24"/>
        </w:rPr>
        <w:tab/>
      </w:r>
      <w:r w:rsidR="00C0697F" w:rsidRPr="001630CB">
        <w:rPr>
          <w:b/>
          <w:bCs/>
          <w:sz w:val="24"/>
          <w:szCs w:val="24"/>
        </w:rPr>
        <w:t>Subdivision (5) (a):</w:t>
      </w:r>
      <w:r w:rsidR="00C0697F" w:rsidRPr="001630CB">
        <w:rPr>
          <w:sz w:val="24"/>
          <w:szCs w:val="24"/>
        </w:rPr>
        <w:t xml:space="preserve"> The first sentence is taken verbatim from CPLR 4515</w:t>
      </w:r>
      <w:r w:rsidR="001433EF" w:rsidRPr="001630CB">
        <w:rPr>
          <w:sz w:val="24"/>
          <w:szCs w:val="24"/>
        </w:rPr>
        <w:t>.</w:t>
      </w:r>
      <w:r w:rsidR="006249FC" w:rsidRPr="001630CB">
        <w:rPr>
          <w:sz w:val="24"/>
          <w:szCs w:val="24"/>
        </w:rPr>
        <w:t xml:space="preserve"> </w:t>
      </w:r>
      <w:r w:rsidR="00C0697F" w:rsidRPr="001630CB">
        <w:rPr>
          <w:sz w:val="24"/>
          <w:szCs w:val="24"/>
        </w:rPr>
        <w:t>The second sentence is a combination of decisional law</w:t>
      </w:r>
      <w:r w:rsidR="00C0697F" w:rsidRPr="001630CB">
        <w:rPr>
          <w:i/>
          <w:iCs/>
          <w:sz w:val="24"/>
          <w:szCs w:val="24"/>
        </w:rPr>
        <w:t xml:space="preserve"> </w:t>
      </w:r>
      <w:r w:rsidR="00C0697F" w:rsidRPr="001630CB">
        <w:rPr>
          <w:sz w:val="24"/>
          <w:szCs w:val="24"/>
        </w:rPr>
        <w:t>(</w:t>
      </w:r>
      <w:r w:rsidR="00C0697F" w:rsidRPr="001630CB">
        <w:rPr>
          <w:i/>
          <w:iCs/>
          <w:sz w:val="24"/>
          <w:szCs w:val="24"/>
        </w:rPr>
        <w:t>Cassano v Hagstrom</w:t>
      </w:r>
      <w:r w:rsidR="006249FC" w:rsidRPr="001630CB">
        <w:rPr>
          <w:sz w:val="24"/>
          <w:szCs w:val="24"/>
        </w:rPr>
        <w:t>,</w:t>
      </w:r>
      <w:r w:rsidR="006249FC" w:rsidRPr="001630CB">
        <w:rPr>
          <w:i/>
          <w:iCs/>
          <w:sz w:val="24"/>
          <w:szCs w:val="24"/>
        </w:rPr>
        <w:t xml:space="preserve"> </w:t>
      </w:r>
      <w:r w:rsidR="00C0697F" w:rsidRPr="001630CB">
        <w:rPr>
          <w:sz w:val="24"/>
          <w:szCs w:val="24"/>
        </w:rPr>
        <w:t xml:space="preserve">5 NY2d 643, 646 [1959] [“opinion evidence must be based on facts in the record or personally known to the witness”]; </w:t>
      </w:r>
      <w:r w:rsidR="00A50769" w:rsidRPr="001D567A">
        <w:rPr>
          <w:rFonts w:eastAsia="Times New Roman"/>
          <w:i/>
          <w:iCs/>
          <w:sz w:val="24"/>
          <w:szCs w:val="24"/>
          <w:bdr w:val="none" w:sz="0" w:space="0" w:color="auto" w:frame="1"/>
        </w:rPr>
        <w:t>Admiral Ins. Co. v Joy Contrs</w:t>
      </w:r>
      <w:r w:rsidR="001C4777" w:rsidRPr="001D567A">
        <w:rPr>
          <w:rFonts w:eastAsia="Times New Roman"/>
          <w:i/>
          <w:iCs/>
          <w:sz w:val="24"/>
          <w:szCs w:val="24"/>
          <w:bdr w:val="none" w:sz="0" w:space="0" w:color="auto" w:frame="1"/>
        </w:rPr>
        <w:t>.</w:t>
      </w:r>
      <w:r w:rsidR="00A50769" w:rsidRPr="001D567A">
        <w:rPr>
          <w:rFonts w:eastAsia="Times New Roman"/>
          <w:i/>
          <w:iCs/>
          <w:sz w:val="24"/>
          <w:szCs w:val="24"/>
          <w:bdr w:val="none" w:sz="0" w:space="0" w:color="auto" w:frame="1"/>
        </w:rPr>
        <w:t>, Inc.</w:t>
      </w:r>
      <w:r w:rsidR="00A50769" w:rsidRPr="001D567A">
        <w:rPr>
          <w:rFonts w:eastAsia="Times New Roman"/>
          <w:sz w:val="24"/>
          <w:szCs w:val="24"/>
        </w:rPr>
        <w:t>, 19 NY3d 448, 457 [2012] [</w:t>
      </w:r>
      <w:r w:rsidR="00CB5AAF" w:rsidRPr="001D567A">
        <w:rPr>
          <w:rFonts w:eastAsia="Times New Roman"/>
          <w:sz w:val="24"/>
          <w:szCs w:val="24"/>
        </w:rPr>
        <w:t>an expert may render an opinion “</w:t>
      </w:r>
      <w:r w:rsidR="00A50769" w:rsidRPr="001D567A">
        <w:rPr>
          <w:rFonts w:eastAsia="Times New Roman"/>
          <w:sz w:val="24"/>
          <w:szCs w:val="24"/>
        </w:rPr>
        <w:t>on facts in evidence</w:t>
      </w:r>
      <w:r w:rsidR="00CB5AAF" w:rsidRPr="001D567A">
        <w:rPr>
          <w:rFonts w:eastAsia="Times New Roman"/>
          <w:sz w:val="24"/>
          <w:szCs w:val="24"/>
        </w:rPr>
        <w:t>”]</w:t>
      </w:r>
      <w:r w:rsidR="002B0222" w:rsidRPr="001D567A">
        <w:rPr>
          <w:rFonts w:eastAsia="Times New Roman"/>
          <w:sz w:val="24"/>
          <w:szCs w:val="24"/>
        </w:rPr>
        <w:t>)</w:t>
      </w:r>
      <w:r w:rsidR="00CB5AAF" w:rsidRPr="001D567A">
        <w:rPr>
          <w:rFonts w:eastAsia="Times New Roman"/>
          <w:sz w:val="24"/>
          <w:szCs w:val="24"/>
        </w:rPr>
        <w:t xml:space="preserve">, </w:t>
      </w:r>
      <w:r w:rsidR="00C0697F" w:rsidRPr="001630CB">
        <w:rPr>
          <w:sz w:val="24"/>
          <w:szCs w:val="24"/>
        </w:rPr>
        <w:t>and the portion of CPLR 4515 that reads “the witness may state his opinion and reasons without first specifying the data upon which it is based.” The Court of Appeals has qualified that latter po</w:t>
      </w:r>
      <w:r w:rsidR="007342D5" w:rsidRPr="001630CB">
        <w:rPr>
          <w:sz w:val="24"/>
          <w:szCs w:val="24"/>
        </w:rPr>
        <w:t>rtion of CPLR 4515 in two ways.</w:t>
      </w:r>
    </w:p>
    <w:p w14:paraId="4BAB0DE6" w14:textId="77777777" w:rsidR="00F6789F" w:rsidRPr="001630CB" w:rsidRDefault="00F6789F" w:rsidP="001A535B">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6469CB2F" w14:textId="44D6509D" w:rsidR="00F6789F" w:rsidRPr="001630CB" w:rsidRDefault="006F34EE" w:rsidP="006F34EE">
      <w:pPr>
        <w:widowControl/>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r>
      <w:r w:rsidR="00C0697F" w:rsidRPr="001630CB">
        <w:rPr>
          <w:sz w:val="24"/>
          <w:szCs w:val="24"/>
        </w:rPr>
        <w:t>The first qualification is as set forth in the rule’s exception for an expert who relies on facts within personal knowledge</w:t>
      </w:r>
      <w:r w:rsidR="007D7486" w:rsidRPr="001630CB">
        <w:rPr>
          <w:sz w:val="24"/>
          <w:szCs w:val="24"/>
        </w:rPr>
        <w:t>.</w:t>
      </w:r>
      <w:r w:rsidR="006249FC" w:rsidRPr="001630CB">
        <w:rPr>
          <w:sz w:val="24"/>
          <w:szCs w:val="24"/>
        </w:rPr>
        <w:t xml:space="preserve"> </w:t>
      </w:r>
      <w:r w:rsidR="00C0697F" w:rsidRPr="001630CB">
        <w:rPr>
          <w:sz w:val="24"/>
          <w:szCs w:val="24"/>
        </w:rPr>
        <w:t>(</w:t>
      </w:r>
      <w:r w:rsidR="00C0697F" w:rsidRPr="001630CB">
        <w:rPr>
          <w:i/>
          <w:iCs/>
          <w:sz w:val="24"/>
          <w:szCs w:val="24"/>
        </w:rPr>
        <w:t>People v Jones</w:t>
      </w:r>
      <w:r w:rsidR="00C0697F" w:rsidRPr="001630CB">
        <w:rPr>
          <w:sz w:val="24"/>
          <w:szCs w:val="24"/>
        </w:rPr>
        <w:t xml:space="preserve">, 73 NY2d 427, 430 [1989] [an expert who relies on necessary facts within personal knowledge which are not contained on the record is required to testify to those facts prior to rendering the opinion]; </w:t>
      </w:r>
      <w:r w:rsidR="00C0697F" w:rsidRPr="001630CB">
        <w:rPr>
          <w:i/>
          <w:iCs/>
          <w:sz w:val="24"/>
          <w:szCs w:val="24"/>
        </w:rPr>
        <w:t>Mandel v Geloso</w:t>
      </w:r>
      <w:r w:rsidR="00C0697F" w:rsidRPr="001630CB">
        <w:rPr>
          <w:sz w:val="24"/>
          <w:szCs w:val="24"/>
        </w:rPr>
        <w:t>, 206 AD2d 699, 700 [3d Dept 1994].)</w:t>
      </w:r>
    </w:p>
    <w:p w14:paraId="383A69E4" w14:textId="77777777" w:rsidR="00B36891" w:rsidRPr="001630CB" w:rsidRDefault="00B36891" w:rsidP="001A535B">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49A4AEDA" w14:textId="0011E851" w:rsidR="00C0697F" w:rsidRPr="001630CB" w:rsidRDefault="006F34EE" w:rsidP="006F34EE">
      <w:pPr>
        <w:widowControl/>
        <w:numPr>
          <w:ilvl w:val="12"/>
          <w:numId w:val="0"/>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r w:rsidRPr="001630CB">
        <w:rPr>
          <w:sz w:val="24"/>
          <w:szCs w:val="24"/>
        </w:rPr>
        <w:tab/>
      </w:r>
      <w:r w:rsidR="00C0697F" w:rsidRPr="001630CB">
        <w:rPr>
          <w:sz w:val="24"/>
          <w:szCs w:val="24"/>
        </w:rPr>
        <w:t>Second, while the expert may state an opinion without first specifying the data that would support that opinion, the expert’s testimony or the record must supply the data</w:t>
      </w:r>
      <w:r w:rsidR="007D7486" w:rsidRPr="001630CB">
        <w:rPr>
          <w:sz w:val="24"/>
          <w:szCs w:val="24"/>
        </w:rPr>
        <w:t xml:space="preserve">. </w:t>
      </w:r>
      <w:r w:rsidR="00C0697F" w:rsidRPr="001630CB">
        <w:rPr>
          <w:sz w:val="24"/>
          <w:szCs w:val="24"/>
        </w:rPr>
        <w:t>(</w:t>
      </w:r>
      <w:r w:rsidR="00C0697F" w:rsidRPr="001630CB">
        <w:rPr>
          <w:i/>
          <w:iCs/>
          <w:sz w:val="24"/>
          <w:szCs w:val="24"/>
        </w:rPr>
        <w:t>Jones</w:t>
      </w:r>
      <w:r w:rsidR="006249FC" w:rsidRPr="001630CB">
        <w:rPr>
          <w:i/>
          <w:iCs/>
          <w:sz w:val="24"/>
          <w:szCs w:val="24"/>
        </w:rPr>
        <w:t xml:space="preserve"> </w:t>
      </w:r>
      <w:r w:rsidR="00C0697F" w:rsidRPr="001630CB">
        <w:rPr>
          <w:sz w:val="24"/>
          <w:szCs w:val="24"/>
        </w:rPr>
        <w:t>at 431 [“In failing to supply an evidentiary predica</w:t>
      </w:r>
      <w:r w:rsidR="00F8714D" w:rsidRPr="001630CB">
        <w:rPr>
          <w:sz w:val="24"/>
          <w:szCs w:val="24"/>
        </w:rPr>
        <w:t>te for their own chemist expert’</w:t>
      </w:r>
      <w:r w:rsidR="00C0697F" w:rsidRPr="001630CB">
        <w:rPr>
          <w:sz w:val="24"/>
          <w:szCs w:val="24"/>
        </w:rPr>
        <w:t xml:space="preserve">s ultimate conclusion </w:t>
      </w:r>
      <w:r w:rsidR="006249FC" w:rsidRPr="001630CB">
        <w:rPr>
          <w:sz w:val="24"/>
          <w:szCs w:val="24"/>
        </w:rPr>
        <w:t>(</w:t>
      </w:r>
      <w:r w:rsidR="00C0697F" w:rsidRPr="001630CB">
        <w:rPr>
          <w:sz w:val="24"/>
          <w:szCs w:val="24"/>
        </w:rPr>
        <w:t>that a particular drug was a controlled substance</w:t>
      </w:r>
      <w:r w:rsidR="006249FC" w:rsidRPr="001630CB">
        <w:rPr>
          <w:sz w:val="24"/>
          <w:szCs w:val="24"/>
        </w:rPr>
        <w:t>)</w:t>
      </w:r>
      <w:r w:rsidR="00C0697F" w:rsidRPr="001630CB">
        <w:rPr>
          <w:sz w:val="24"/>
          <w:szCs w:val="24"/>
        </w:rPr>
        <w:t xml:space="preserve">, the People presented an insufficient case”].) </w:t>
      </w:r>
      <w:proofErr w:type="gramStart"/>
      <w:r w:rsidR="00C0697F" w:rsidRPr="001630CB">
        <w:rPr>
          <w:sz w:val="24"/>
          <w:szCs w:val="24"/>
        </w:rPr>
        <w:t>That</w:t>
      </w:r>
      <w:proofErr w:type="gramEnd"/>
      <w:r w:rsidR="00C0697F" w:rsidRPr="001630CB">
        <w:rPr>
          <w:sz w:val="24"/>
          <w:szCs w:val="24"/>
        </w:rPr>
        <w:t xml:space="preserve"> the opposing party under CPLR 4515 may of course cross-examine the expert does not </w:t>
      </w:r>
      <w:r w:rsidR="00C0697F" w:rsidRPr="001630CB">
        <w:rPr>
          <w:sz w:val="24"/>
          <w:szCs w:val="24"/>
        </w:rPr>
        <w:lastRenderedPageBreak/>
        <w:t>shift the burden to that party to fill in the missing data</w:t>
      </w:r>
      <w:r w:rsidR="005338C8" w:rsidRPr="001630CB">
        <w:rPr>
          <w:sz w:val="24"/>
          <w:szCs w:val="24"/>
        </w:rPr>
        <w:t>.</w:t>
      </w:r>
      <w:r w:rsidR="006249FC" w:rsidRPr="001630CB">
        <w:rPr>
          <w:sz w:val="24"/>
          <w:szCs w:val="24"/>
        </w:rPr>
        <w:t xml:space="preserve"> </w:t>
      </w:r>
      <w:r w:rsidR="00C0697F" w:rsidRPr="001630CB">
        <w:rPr>
          <w:sz w:val="24"/>
          <w:szCs w:val="24"/>
        </w:rPr>
        <w:t>(</w:t>
      </w:r>
      <w:r w:rsidR="00C0697F" w:rsidRPr="001630CB">
        <w:rPr>
          <w:i/>
          <w:iCs/>
          <w:sz w:val="24"/>
          <w:szCs w:val="24"/>
        </w:rPr>
        <w:t>Id.</w:t>
      </w:r>
      <w:r w:rsidR="00C0697F" w:rsidRPr="001630CB">
        <w:rPr>
          <w:sz w:val="24"/>
          <w:szCs w:val="24"/>
        </w:rPr>
        <w:t xml:space="preserve">; </w:t>
      </w:r>
      <w:r w:rsidR="00C0697F" w:rsidRPr="001630CB">
        <w:rPr>
          <w:i/>
          <w:iCs/>
          <w:sz w:val="24"/>
          <w:szCs w:val="24"/>
        </w:rPr>
        <w:t>see</w:t>
      </w:r>
      <w:r w:rsidR="00C0697F" w:rsidRPr="001630CB">
        <w:rPr>
          <w:sz w:val="24"/>
          <w:szCs w:val="24"/>
        </w:rPr>
        <w:t xml:space="preserve"> Vincent C. Alexander, </w:t>
      </w:r>
      <w:r w:rsidR="00F8714D" w:rsidRPr="001630CB">
        <w:rPr>
          <w:sz w:val="24"/>
          <w:szCs w:val="24"/>
        </w:rPr>
        <w:t>Prac Commentaries, McKinney’</w:t>
      </w:r>
      <w:r w:rsidR="00C0697F" w:rsidRPr="001630CB">
        <w:rPr>
          <w:sz w:val="24"/>
          <w:szCs w:val="24"/>
        </w:rPr>
        <w:t xml:space="preserve">s Cons Laws of NY, Book 7B, CPLR 4515; Barker </w:t>
      </w:r>
      <w:r w:rsidR="006249FC" w:rsidRPr="001630CB">
        <w:rPr>
          <w:sz w:val="24"/>
          <w:szCs w:val="24"/>
        </w:rPr>
        <w:t xml:space="preserve">&amp; </w:t>
      </w:r>
      <w:r w:rsidR="00C0697F" w:rsidRPr="001630CB">
        <w:rPr>
          <w:sz w:val="24"/>
          <w:szCs w:val="24"/>
        </w:rPr>
        <w:t>Alexander, Evidence in New York State and Federal Courts § 716 [2d ed].)</w:t>
      </w:r>
    </w:p>
    <w:p w14:paraId="4DD4C6CC" w14:textId="77777777" w:rsidR="00F6789F" w:rsidRPr="001630CB" w:rsidRDefault="00F6789F" w:rsidP="001A535B">
      <w:pPr>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spacing w:line="276" w:lineRule="auto"/>
        <w:jc w:val="both"/>
        <w:rPr>
          <w:sz w:val="24"/>
          <w:szCs w:val="24"/>
        </w:rPr>
      </w:pPr>
    </w:p>
    <w:p w14:paraId="0DED8650" w14:textId="422F4AC0" w:rsidR="0097099D" w:rsidRPr="001630CB" w:rsidRDefault="0097099D" w:rsidP="00D84196">
      <w:pPr>
        <w:widowControl/>
        <w:shd w:val="clear" w:color="auto" w:fill="FFFFFF"/>
        <w:autoSpaceDE/>
        <w:autoSpaceDN/>
        <w:adjustRightInd/>
        <w:spacing w:line="320" w:lineRule="atLeast"/>
        <w:jc w:val="both"/>
        <w:rPr>
          <w:sz w:val="24"/>
          <w:szCs w:val="24"/>
        </w:rPr>
      </w:pPr>
      <w:bookmarkStart w:id="0" w:name="_Hlk99729079"/>
      <w:bookmarkStart w:id="1" w:name="_Hlk99744564"/>
      <w:r w:rsidRPr="001630CB">
        <w:rPr>
          <w:b/>
          <w:bCs/>
          <w:sz w:val="24"/>
          <w:szCs w:val="24"/>
        </w:rPr>
        <w:tab/>
      </w:r>
      <w:r w:rsidR="00C0697F" w:rsidRPr="001630CB">
        <w:rPr>
          <w:b/>
          <w:bCs/>
          <w:sz w:val="24"/>
          <w:szCs w:val="24"/>
        </w:rPr>
        <w:t>Subdivision (5)</w:t>
      </w:r>
      <w:r w:rsidR="00C91B7D" w:rsidRPr="001630CB">
        <w:rPr>
          <w:b/>
          <w:bCs/>
          <w:sz w:val="24"/>
          <w:szCs w:val="24"/>
        </w:rPr>
        <w:t xml:space="preserve"> </w:t>
      </w:r>
      <w:r w:rsidR="00C0697F" w:rsidRPr="001630CB">
        <w:rPr>
          <w:b/>
          <w:bCs/>
          <w:sz w:val="24"/>
          <w:szCs w:val="24"/>
        </w:rPr>
        <w:t>(b)</w:t>
      </w:r>
      <w:r w:rsidR="00C91B7D" w:rsidRPr="001630CB">
        <w:rPr>
          <w:b/>
          <w:bCs/>
          <w:sz w:val="24"/>
          <w:szCs w:val="24"/>
        </w:rPr>
        <w:t xml:space="preserve"> </w:t>
      </w:r>
      <w:r w:rsidR="006D321F" w:rsidRPr="001630CB">
        <w:rPr>
          <w:b/>
          <w:bCs/>
          <w:sz w:val="24"/>
          <w:szCs w:val="24"/>
        </w:rPr>
        <w:t xml:space="preserve">(i) </w:t>
      </w:r>
      <w:bookmarkEnd w:id="0"/>
      <w:r w:rsidR="006D321F" w:rsidRPr="001630CB">
        <w:rPr>
          <w:sz w:val="24"/>
          <w:szCs w:val="24"/>
        </w:rPr>
        <w:t>is derived from a series of Court of Appeals cases:</w:t>
      </w:r>
      <w:r w:rsidR="006D321F" w:rsidRPr="001630CB">
        <w:rPr>
          <w:i/>
          <w:iCs/>
          <w:sz w:val="24"/>
          <w:szCs w:val="24"/>
        </w:rPr>
        <w:t xml:space="preserve"> </w:t>
      </w:r>
      <w:r w:rsidR="00C0697F" w:rsidRPr="001630CB">
        <w:rPr>
          <w:i/>
          <w:iCs/>
          <w:sz w:val="24"/>
          <w:szCs w:val="24"/>
        </w:rPr>
        <w:t>People v Sugden</w:t>
      </w:r>
      <w:r w:rsidR="00C0697F" w:rsidRPr="001630CB">
        <w:rPr>
          <w:sz w:val="24"/>
          <w:szCs w:val="24"/>
        </w:rPr>
        <w:t xml:space="preserve"> (</w:t>
      </w:r>
      <w:bookmarkStart w:id="2" w:name="_Hlk157345698"/>
      <w:r w:rsidR="00C0697F" w:rsidRPr="001630CB">
        <w:rPr>
          <w:sz w:val="24"/>
          <w:szCs w:val="24"/>
        </w:rPr>
        <w:t xml:space="preserve">35 NY2d 453, 460-461 [1974] [“The </w:t>
      </w:r>
      <w:bookmarkEnd w:id="1"/>
      <w:r w:rsidR="00C0697F" w:rsidRPr="001630CB">
        <w:rPr>
          <w:sz w:val="24"/>
          <w:szCs w:val="24"/>
        </w:rPr>
        <w:t>psychiatrist may rely on material, albeit of out-of-court origin, if it is of a kind accepted in the profession as reliable in forming a professional opinion. . . . He may also rely on material, which if it does not qualify under the professional test, comes from a witness subject to full cross-examination on the trial”]</w:t>
      </w:r>
      <w:r w:rsidR="002A061C" w:rsidRPr="001630CB">
        <w:rPr>
          <w:sz w:val="24"/>
          <w:szCs w:val="24"/>
        </w:rPr>
        <w:t>)</w:t>
      </w:r>
      <w:r w:rsidR="00C0697F" w:rsidRPr="001630CB">
        <w:rPr>
          <w:sz w:val="24"/>
          <w:szCs w:val="24"/>
        </w:rPr>
        <w:t xml:space="preserve">; </w:t>
      </w:r>
      <w:r w:rsidR="00C0697F" w:rsidRPr="001630CB">
        <w:rPr>
          <w:i/>
          <w:iCs/>
          <w:sz w:val="24"/>
          <w:szCs w:val="24"/>
        </w:rPr>
        <w:t>People v Stone</w:t>
      </w:r>
      <w:r w:rsidR="00C0697F" w:rsidRPr="001630CB">
        <w:rPr>
          <w:sz w:val="24"/>
          <w:szCs w:val="24"/>
        </w:rPr>
        <w:t xml:space="preserve"> (35 NY2d 69</w:t>
      </w:r>
      <w:bookmarkEnd w:id="2"/>
      <w:r w:rsidR="00C0697F" w:rsidRPr="001630CB">
        <w:rPr>
          <w:sz w:val="24"/>
          <w:szCs w:val="24"/>
        </w:rPr>
        <w:t>, 73 [1974] [“</w:t>
      </w:r>
      <w:r w:rsidR="00C91B7D" w:rsidRPr="001630CB">
        <w:rPr>
          <w:sz w:val="24"/>
          <w:szCs w:val="24"/>
        </w:rPr>
        <w:t>(T)</w:t>
      </w:r>
      <w:r w:rsidR="00C0697F" w:rsidRPr="001630CB">
        <w:rPr>
          <w:sz w:val="24"/>
          <w:szCs w:val="24"/>
        </w:rPr>
        <w:t xml:space="preserve">he Trial Judge was very careful to satisfy himself that an independent, legally competent basis existed for the </w:t>
      </w:r>
      <w:r w:rsidR="00C91B7D" w:rsidRPr="001630CB">
        <w:rPr>
          <w:sz w:val="24"/>
          <w:szCs w:val="24"/>
        </w:rPr>
        <w:t>(</w:t>
      </w:r>
      <w:r w:rsidR="00C0697F" w:rsidRPr="001630CB">
        <w:rPr>
          <w:sz w:val="24"/>
          <w:szCs w:val="24"/>
        </w:rPr>
        <w:t>expert</w:t>
      </w:r>
      <w:r w:rsidR="00C91B7D" w:rsidRPr="001630CB">
        <w:rPr>
          <w:sz w:val="24"/>
          <w:szCs w:val="24"/>
        </w:rPr>
        <w:t>)</w:t>
      </w:r>
      <w:r w:rsidR="00C0697F" w:rsidRPr="001630CB">
        <w:rPr>
          <w:sz w:val="24"/>
          <w:szCs w:val="24"/>
        </w:rPr>
        <w:t xml:space="preserve"> opinion in the doctor</w:t>
      </w:r>
      <w:r w:rsidR="001832B5" w:rsidRPr="001630CB">
        <w:rPr>
          <w:sz w:val="24"/>
          <w:szCs w:val="24"/>
        </w:rPr>
        <w:t>’</w:t>
      </w:r>
      <w:r w:rsidR="00C0697F" w:rsidRPr="001630CB">
        <w:rPr>
          <w:sz w:val="24"/>
          <w:szCs w:val="24"/>
        </w:rPr>
        <w:t>s interviews with the defendant and in the medical records in evidence</w:t>
      </w:r>
      <w:r w:rsidR="00F8714D" w:rsidRPr="001630CB">
        <w:rPr>
          <w:sz w:val="24"/>
          <w:szCs w:val="24"/>
        </w:rPr>
        <w:t>”</w:t>
      </w:r>
      <w:r w:rsidR="00C0697F" w:rsidRPr="001630CB">
        <w:rPr>
          <w:sz w:val="24"/>
          <w:szCs w:val="24"/>
        </w:rPr>
        <w:t xml:space="preserve">]); </w:t>
      </w:r>
      <w:r w:rsidR="00C0697F" w:rsidRPr="001630CB">
        <w:rPr>
          <w:i/>
          <w:iCs/>
          <w:sz w:val="24"/>
          <w:szCs w:val="24"/>
        </w:rPr>
        <w:t>Hambsch v New York City Tr. Auth.</w:t>
      </w:r>
      <w:r w:rsidR="00C0697F" w:rsidRPr="001630CB">
        <w:rPr>
          <w:sz w:val="24"/>
          <w:szCs w:val="24"/>
        </w:rPr>
        <w:t xml:space="preserve"> (63 NY2d 723, 726 [1984] [“In order to qualify for the </w:t>
      </w:r>
      <w:r w:rsidR="00C91B7D" w:rsidRPr="001630CB">
        <w:rPr>
          <w:sz w:val="24"/>
          <w:szCs w:val="24"/>
        </w:rPr>
        <w:t>(</w:t>
      </w:r>
      <w:r w:rsidR="00C0697F" w:rsidRPr="001630CB">
        <w:rPr>
          <w:i/>
          <w:iCs/>
          <w:sz w:val="24"/>
          <w:szCs w:val="24"/>
        </w:rPr>
        <w:t>Sugden</w:t>
      </w:r>
      <w:r w:rsidR="00C91B7D" w:rsidRPr="001630CB">
        <w:rPr>
          <w:sz w:val="24"/>
          <w:szCs w:val="24"/>
        </w:rPr>
        <w:t>)</w:t>
      </w:r>
      <w:r w:rsidR="00C0697F" w:rsidRPr="001630CB">
        <w:rPr>
          <w:sz w:val="24"/>
          <w:szCs w:val="24"/>
        </w:rPr>
        <w:t xml:space="preserve"> ‘professional reliability’ exception, there must be evidence establishing the reliability of the out-of-court material . . . Plaintiff presented no such evidence in the instant c</w:t>
      </w:r>
      <w:r w:rsidR="00F8714D" w:rsidRPr="001630CB">
        <w:rPr>
          <w:sz w:val="24"/>
          <w:szCs w:val="24"/>
        </w:rPr>
        <w:t>ase and therefore the physician’</w:t>
      </w:r>
      <w:r w:rsidR="00C0697F" w:rsidRPr="001630CB">
        <w:rPr>
          <w:sz w:val="24"/>
          <w:szCs w:val="24"/>
        </w:rPr>
        <w:t xml:space="preserve">s opinion was inadmissible”]); </w:t>
      </w:r>
      <w:r w:rsidR="00C0697F" w:rsidRPr="001630CB">
        <w:rPr>
          <w:i/>
          <w:iCs/>
          <w:sz w:val="24"/>
          <w:szCs w:val="24"/>
        </w:rPr>
        <w:t>People v Jones</w:t>
      </w:r>
      <w:r w:rsidR="00C0697F" w:rsidRPr="001630CB">
        <w:rPr>
          <w:sz w:val="24"/>
          <w:szCs w:val="24"/>
        </w:rPr>
        <w:t xml:space="preserve"> (73 NY2d 427, 430 [1989] [“</w:t>
      </w:r>
      <w:r w:rsidR="00C91B7D" w:rsidRPr="001630CB">
        <w:rPr>
          <w:sz w:val="24"/>
          <w:szCs w:val="24"/>
        </w:rPr>
        <w:t>(A)</w:t>
      </w:r>
      <w:r w:rsidR="00C0697F" w:rsidRPr="001630CB">
        <w:rPr>
          <w:sz w:val="24"/>
          <w:szCs w:val="24"/>
        </w:rPr>
        <w:t>n expert who relies on necessary facts within personal knowledge which are not contained on the record is required to testify to those facts prior to rendering the opinion . . . Conversely, expert opinions of the kind needing material evidentiary support for which there is none otherwise in the direct evidence or in some equivalently admissible evidentiary form have been excluded”</w:t>
      </w:r>
      <w:r w:rsidR="00BC366A" w:rsidRPr="001630CB">
        <w:rPr>
          <w:sz w:val="24"/>
          <w:szCs w:val="24"/>
        </w:rPr>
        <w:t>]</w:t>
      </w:r>
      <w:r w:rsidR="005B1D27" w:rsidRPr="001630CB">
        <w:rPr>
          <w:sz w:val="24"/>
          <w:szCs w:val="24"/>
        </w:rPr>
        <w:t>).</w:t>
      </w:r>
    </w:p>
    <w:p w14:paraId="6CE47EDE" w14:textId="77777777" w:rsidR="00FC5803" w:rsidRPr="001630CB" w:rsidRDefault="00FC5803" w:rsidP="00FC5803">
      <w:pPr>
        <w:widowControl/>
        <w:shd w:val="clear" w:color="auto" w:fill="FFFFFF"/>
        <w:autoSpaceDE/>
        <w:autoSpaceDN/>
        <w:adjustRightInd/>
        <w:spacing w:line="276" w:lineRule="auto"/>
        <w:jc w:val="both"/>
        <w:rPr>
          <w:rFonts w:eastAsia="Times New Roman"/>
          <w:sz w:val="24"/>
          <w:szCs w:val="24"/>
        </w:rPr>
      </w:pPr>
    </w:p>
    <w:p w14:paraId="5F5E0CF5" w14:textId="683BA1C6" w:rsidR="00DF496F" w:rsidRPr="00F52875" w:rsidRDefault="00F94A23" w:rsidP="00FC5803">
      <w:pPr>
        <w:widowControl/>
        <w:shd w:val="clear" w:color="auto" w:fill="FFFFFF"/>
        <w:autoSpaceDE/>
        <w:autoSpaceDN/>
        <w:adjustRightInd/>
        <w:spacing w:line="276" w:lineRule="auto"/>
        <w:jc w:val="both"/>
        <w:rPr>
          <w:rFonts w:eastAsia="Times New Roman"/>
          <w:sz w:val="24"/>
          <w:szCs w:val="24"/>
        </w:rPr>
      </w:pPr>
      <w:r w:rsidRPr="00F45024">
        <w:rPr>
          <w:rFonts w:eastAsia="Times New Roman"/>
          <w:color w:val="00B050"/>
          <w:sz w:val="24"/>
          <w:szCs w:val="24"/>
        </w:rPr>
        <w:tab/>
      </w:r>
      <w:r w:rsidR="00DF496F" w:rsidRPr="00F52875">
        <w:rPr>
          <w:rFonts w:eastAsia="Times New Roman"/>
          <w:sz w:val="24"/>
          <w:szCs w:val="24"/>
        </w:rPr>
        <w:t>“</w:t>
      </w:r>
      <w:r w:rsidR="009454FD" w:rsidRPr="00F52875">
        <w:rPr>
          <w:rFonts w:eastAsia="Times New Roman"/>
          <w:sz w:val="24"/>
          <w:szCs w:val="24"/>
        </w:rPr>
        <w:t>The proponent</w:t>
      </w:r>
      <w:r w:rsidR="00D80CA3" w:rsidRPr="00F52875">
        <w:rPr>
          <w:rFonts w:eastAsia="Times New Roman"/>
          <w:sz w:val="24"/>
          <w:szCs w:val="24"/>
        </w:rPr>
        <w:t>’</w:t>
      </w:r>
      <w:r w:rsidR="009454FD" w:rsidRPr="00F52875">
        <w:rPr>
          <w:rFonts w:eastAsia="Times New Roman"/>
          <w:sz w:val="24"/>
          <w:szCs w:val="24"/>
        </w:rPr>
        <w:t>s burden of showing acceptance in the profession may be met through the testimony of a qualified expert, whether or not that expert is the same one who seeks to rely on the out-of-court material</w:t>
      </w:r>
      <w:r w:rsidR="00FC5803" w:rsidRPr="00F52875">
        <w:rPr>
          <w:rFonts w:eastAsia="Times New Roman"/>
          <w:sz w:val="24"/>
          <w:szCs w:val="24"/>
        </w:rPr>
        <w:t>”</w:t>
      </w:r>
      <w:r w:rsidR="002A061C" w:rsidRPr="00F52875">
        <w:rPr>
          <w:rFonts w:eastAsia="Times New Roman"/>
          <w:sz w:val="24"/>
          <w:szCs w:val="24"/>
        </w:rPr>
        <w:t xml:space="preserve"> (</w:t>
      </w:r>
      <w:r w:rsidR="00DF496F" w:rsidRPr="00F52875">
        <w:rPr>
          <w:rFonts w:eastAsia="Times New Roman"/>
          <w:i/>
          <w:iCs/>
          <w:sz w:val="24"/>
          <w:szCs w:val="24"/>
          <w:bdr w:val="none" w:sz="0" w:space="0" w:color="auto" w:frame="1"/>
        </w:rPr>
        <w:t>People v Goldstein</w:t>
      </w:r>
      <w:r w:rsidR="00DF496F" w:rsidRPr="00F52875">
        <w:rPr>
          <w:rFonts w:eastAsia="Times New Roman"/>
          <w:sz w:val="24"/>
          <w:szCs w:val="24"/>
        </w:rPr>
        <w:t>, 6 NY3d 119, 125 [2005]</w:t>
      </w:r>
      <w:r w:rsidR="002A061C" w:rsidRPr="00F52875">
        <w:rPr>
          <w:rFonts w:eastAsia="Times New Roman"/>
          <w:sz w:val="24"/>
          <w:szCs w:val="24"/>
        </w:rPr>
        <w:t>)</w:t>
      </w:r>
      <w:r w:rsidR="00DF496F" w:rsidRPr="00F52875">
        <w:rPr>
          <w:rFonts w:eastAsia="Times New Roman"/>
          <w:sz w:val="24"/>
          <w:szCs w:val="24"/>
        </w:rPr>
        <w:t>.</w:t>
      </w:r>
    </w:p>
    <w:p w14:paraId="1B302DD0" w14:textId="77777777" w:rsidR="001C7076" w:rsidRPr="001630CB" w:rsidRDefault="001C7076" w:rsidP="006F34EE">
      <w:pPr>
        <w:widowControl/>
        <w:shd w:val="clear" w:color="auto" w:fill="FFFFFF"/>
        <w:autoSpaceDE/>
        <w:autoSpaceDN/>
        <w:adjustRightInd/>
        <w:spacing w:line="276" w:lineRule="auto"/>
        <w:jc w:val="both"/>
        <w:rPr>
          <w:rStyle w:val="Emphasis"/>
          <w:i w:val="0"/>
          <w:iCs w:val="0"/>
          <w:sz w:val="24"/>
          <w:szCs w:val="24"/>
          <w:bdr w:val="none" w:sz="0" w:space="0" w:color="auto" w:frame="1"/>
          <w:shd w:val="clear" w:color="auto" w:fill="FFFFFF"/>
        </w:rPr>
      </w:pPr>
    </w:p>
    <w:p w14:paraId="44B9B951" w14:textId="4BA2DFD4" w:rsidR="00351DC4" w:rsidRPr="001630CB" w:rsidRDefault="00871CE5" w:rsidP="00871CE5">
      <w:pPr>
        <w:pStyle w:val="L3-1"/>
        <w:widowControl/>
        <w:tabs>
          <w:tab w:val="left" w:pos="720"/>
        </w:tabs>
        <w:spacing w:line="276" w:lineRule="auto"/>
        <w:ind w:left="0" w:firstLine="0"/>
        <w:rPr>
          <w:rFonts w:ascii="Times New Roman" w:hAnsi="Times New Roman" w:cs="Times New Roman"/>
        </w:rPr>
      </w:pPr>
      <w:r w:rsidRPr="001630CB">
        <w:rPr>
          <w:rFonts w:ascii="Times New Roman" w:hAnsi="Times New Roman" w:cs="Times New Roman"/>
          <w:b/>
          <w:bCs/>
        </w:rPr>
        <w:tab/>
      </w:r>
      <w:r w:rsidR="007C0EFF" w:rsidRPr="001630CB">
        <w:rPr>
          <w:rFonts w:ascii="Times New Roman" w:hAnsi="Times New Roman" w:cs="Times New Roman"/>
          <w:b/>
          <w:bCs/>
        </w:rPr>
        <w:t>Subdivision (5)</w:t>
      </w:r>
      <w:r w:rsidR="00C91B7D" w:rsidRPr="001630CB">
        <w:rPr>
          <w:rFonts w:ascii="Times New Roman" w:hAnsi="Times New Roman" w:cs="Times New Roman"/>
          <w:b/>
          <w:bCs/>
        </w:rPr>
        <w:t xml:space="preserve"> </w:t>
      </w:r>
      <w:r w:rsidR="007C0EFF" w:rsidRPr="001630CB">
        <w:rPr>
          <w:rFonts w:ascii="Times New Roman" w:hAnsi="Times New Roman" w:cs="Times New Roman"/>
          <w:b/>
          <w:bCs/>
        </w:rPr>
        <w:t>(b)</w:t>
      </w:r>
      <w:r w:rsidR="00C91B7D" w:rsidRPr="001630CB">
        <w:rPr>
          <w:rFonts w:ascii="Times New Roman" w:hAnsi="Times New Roman" w:cs="Times New Roman"/>
          <w:b/>
          <w:bCs/>
        </w:rPr>
        <w:t xml:space="preserve"> </w:t>
      </w:r>
      <w:r w:rsidR="007C0EFF" w:rsidRPr="001630CB">
        <w:rPr>
          <w:rFonts w:ascii="Times New Roman" w:hAnsi="Times New Roman" w:cs="Times New Roman"/>
          <w:b/>
          <w:bCs/>
        </w:rPr>
        <w:t>(ii)</w:t>
      </w:r>
      <w:r w:rsidR="007C0EFF" w:rsidRPr="001630CB">
        <w:rPr>
          <w:rFonts w:ascii="Times New Roman" w:hAnsi="Times New Roman" w:cs="Times New Roman"/>
        </w:rPr>
        <w:t xml:space="preserve"> is derived from a series of cases, principally </w:t>
      </w:r>
      <w:r w:rsidR="007C0EFF" w:rsidRPr="001630CB">
        <w:rPr>
          <w:rFonts w:ascii="Times New Roman" w:hAnsi="Times New Roman" w:cs="Times New Roman"/>
          <w:i/>
          <w:iCs/>
          <w:lang w:val="x-none"/>
        </w:rPr>
        <w:t>Ciocca v Park</w:t>
      </w:r>
      <w:r w:rsidR="007C0EFF" w:rsidRPr="001630CB">
        <w:rPr>
          <w:rFonts w:ascii="Times New Roman" w:hAnsi="Times New Roman" w:cs="Times New Roman"/>
          <w:lang w:val="x-none"/>
        </w:rPr>
        <w:t xml:space="preserve"> </w:t>
      </w:r>
      <w:r w:rsidR="00C91B7D" w:rsidRPr="001630CB">
        <w:rPr>
          <w:rFonts w:ascii="Times New Roman" w:hAnsi="Times New Roman" w:cs="Times New Roman"/>
        </w:rPr>
        <w:t>(</w:t>
      </w:r>
      <w:r w:rsidR="007C0EFF" w:rsidRPr="001630CB">
        <w:rPr>
          <w:rFonts w:ascii="Times New Roman" w:hAnsi="Times New Roman" w:cs="Times New Roman"/>
          <w:lang w:val="x-none"/>
        </w:rPr>
        <w:t xml:space="preserve">21 AD3d 671 </w:t>
      </w:r>
      <w:r w:rsidR="007C0EFF" w:rsidRPr="001630CB">
        <w:rPr>
          <w:rFonts w:ascii="Times New Roman" w:hAnsi="Times New Roman" w:cs="Times New Roman"/>
        </w:rPr>
        <w:t xml:space="preserve">[3d Dept </w:t>
      </w:r>
      <w:r w:rsidR="007C0EFF" w:rsidRPr="001630CB">
        <w:rPr>
          <w:rFonts w:ascii="Times New Roman" w:hAnsi="Times New Roman" w:cs="Times New Roman"/>
          <w:lang w:val="x-none"/>
        </w:rPr>
        <w:t>2005</w:t>
      </w:r>
      <w:r w:rsidR="00C91B7D" w:rsidRPr="001630CB">
        <w:rPr>
          <w:rFonts w:ascii="Times New Roman" w:hAnsi="Times New Roman" w:cs="Times New Roman"/>
        </w:rPr>
        <w:t xml:space="preserve">], </w:t>
      </w:r>
      <w:r w:rsidR="007C0EFF" w:rsidRPr="001630CB">
        <w:rPr>
          <w:rFonts w:ascii="Times New Roman" w:hAnsi="Times New Roman" w:cs="Times New Roman"/>
          <w:i/>
          <w:iCs/>
        </w:rPr>
        <w:t xml:space="preserve">affd </w:t>
      </w:r>
      <w:r w:rsidR="007C0EFF" w:rsidRPr="001630CB">
        <w:rPr>
          <w:rFonts w:ascii="Times New Roman" w:hAnsi="Times New Roman" w:cs="Times New Roman"/>
          <w:lang w:val="x-none"/>
        </w:rPr>
        <w:t xml:space="preserve">5 NY3d 835 </w:t>
      </w:r>
      <w:r w:rsidR="00C91B7D" w:rsidRPr="001630CB">
        <w:rPr>
          <w:rFonts w:ascii="Times New Roman" w:hAnsi="Times New Roman" w:cs="Times New Roman"/>
        </w:rPr>
        <w:t>[</w:t>
      </w:r>
      <w:r w:rsidR="007C0EFF" w:rsidRPr="001630CB">
        <w:rPr>
          <w:rFonts w:ascii="Times New Roman" w:hAnsi="Times New Roman" w:cs="Times New Roman"/>
          <w:lang w:val="x-none"/>
        </w:rPr>
        <w:t>2005</w:t>
      </w:r>
      <w:r w:rsidR="00C91B7D" w:rsidRPr="001630CB">
        <w:rPr>
          <w:rFonts w:ascii="Times New Roman" w:hAnsi="Times New Roman" w:cs="Times New Roman"/>
        </w:rPr>
        <w:t>]</w:t>
      </w:r>
      <w:r w:rsidR="007C0EFF" w:rsidRPr="001630CB">
        <w:rPr>
          <w:rFonts w:ascii="Times New Roman" w:hAnsi="Times New Roman" w:cs="Times New Roman"/>
          <w:lang w:val="x-none"/>
        </w:rPr>
        <w:t>)</w:t>
      </w:r>
      <w:r w:rsidR="007C0EFF" w:rsidRPr="001630CB">
        <w:rPr>
          <w:rFonts w:ascii="Times New Roman" w:hAnsi="Times New Roman" w:cs="Times New Roman"/>
        </w:rPr>
        <w:t xml:space="preserve">. The Appellate Division in </w:t>
      </w:r>
      <w:r w:rsidR="007C0EFF" w:rsidRPr="001630CB">
        <w:rPr>
          <w:rFonts w:ascii="Times New Roman" w:hAnsi="Times New Roman" w:cs="Times New Roman"/>
          <w:i/>
          <w:iCs/>
        </w:rPr>
        <w:t>Ciocca</w:t>
      </w:r>
      <w:r w:rsidR="007C0EFF" w:rsidRPr="001630CB">
        <w:rPr>
          <w:rFonts w:ascii="Times New Roman" w:hAnsi="Times New Roman" w:cs="Times New Roman"/>
        </w:rPr>
        <w:t xml:space="preserve"> held that an “MRI </w:t>
      </w:r>
      <w:r w:rsidR="007C0EFF" w:rsidRPr="001630CB">
        <w:rPr>
          <w:rFonts w:ascii="Times New Roman" w:hAnsi="Times New Roman" w:cs="Times New Roman"/>
          <w:lang w:val="x-none"/>
        </w:rPr>
        <w:t>was properly excluded</w:t>
      </w:r>
      <w:r w:rsidR="007C0EFF" w:rsidRPr="001630CB">
        <w:rPr>
          <w:rFonts w:ascii="Times New Roman" w:hAnsi="Times New Roman" w:cs="Times New Roman"/>
        </w:rPr>
        <w:t xml:space="preserve"> </w:t>
      </w:r>
      <w:r w:rsidR="007C0EFF" w:rsidRPr="001630CB">
        <w:rPr>
          <w:rFonts w:ascii="Times New Roman" w:hAnsi="Times New Roman" w:cs="Times New Roman"/>
          <w:lang w:val="x-none"/>
        </w:rPr>
        <w:t xml:space="preserve">because </w:t>
      </w:r>
      <w:r w:rsidR="007C0EFF" w:rsidRPr="001630CB">
        <w:rPr>
          <w:rFonts w:ascii="Times New Roman" w:hAnsi="Times New Roman" w:cs="Times New Roman"/>
        </w:rPr>
        <w:t>[the expert]</w:t>
      </w:r>
      <w:r w:rsidR="007C0EFF" w:rsidRPr="001630CB">
        <w:rPr>
          <w:rFonts w:ascii="Times New Roman" w:hAnsi="Times New Roman" w:cs="Times New Roman"/>
          <w:lang w:val="x-none"/>
        </w:rPr>
        <w:t xml:space="preserve"> exclusively relied upon the radiologist</w:t>
      </w:r>
      <w:r w:rsidR="001832B5" w:rsidRPr="001630CB">
        <w:rPr>
          <w:rFonts w:ascii="Times New Roman" w:hAnsi="Times New Roman" w:cs="Times New Roman"/>
        </w:rPr>
        <w:t>’</w:t>
      </w:r>
      <w:r w:rsidR="007C0EFF" w:rsidRPr="001630CB">
        <w:rPr>
          <w:rFonts w:ascii="Times New Roman" w:hAnsi="Times New Roman" w:cs="Times New Roman"/>
          <w:lang w:val="x-none"/>
        </w:rPr>
        <w:t xml:space="preserve">s report, </w:t>
      </w:r>
      <w:r w:rsidR="007C0EFF" w:rsidRPr="001630CB">
        <w:rPr>
          <w:rFonts w:ascii="Times New Roman" w:hAnsi="Times New Roman" w:cs="Times New Roman"/>
        </w:rPr>
        <w:t>‘</w:t>
      </w:r>
      <w:r w:rsidR="007C0EFF" w:rsidRPr="001630CB">
        <w:rPr>
          <w:rFonts w:ascii="Times New Roman" w:hAnsi="Times New Roman" w:cs="Times New Roman"/>
          <w:lang w:val="x-none"/>
        </w:rPr>
        <w:t>not merely [as]</w:t>
      </w:r>
      <w:r w:rsidR="007C0EFF" w:rsidRPr="001630CB">
        <w:rPr>
          <w:rFonts w:ascii="Times New Roman" w:hAnsi="Times New Roman" w:cs="Times New Roman"/>
        </w:rPr>
        <w:t xml:space="preserve"> </w:t>
      </w:r>
      <w:r w:rsidR="007C0EFF" w:rsidRPr="001630CB">
        <w:rPr>
          <w:rFonts w:ascii="Times New Roman" w:hAnsi="Times New Roman" w:cs="Times New Roman"/>
          <w:lang w:val="x-none"/>
        </w:rPr>
        <w:t>a link in the chain of data</w:t>
      </w:r>
      <w:r w:rsidR="00B833E8" w:rsidRPr="001630CB">
        <w:rPr>
          <w:rFonts w:ascii="Times New Roman" w:hAnsi="Times New Roman" w:cs="Times New Roman"/>
        </w:rPr>
        <w:t>,</w:t>
      </w:r>
      <w:r w:rsidR="007C0EFF" w:rsidRPr="001630CB">
        <w:rPr>
          <w:rFonts w:ascii="Times New Roman" w:hAnsi="Times New Roman" w:cs="Times New Roman"/>
        </w:rPr>
        <w:t>’</w:t>
      </w:r>
      <w:r w:rsidR="007C0EFF" w:rsidRPr="001630CB">
        <w:rPr>
          <w:rFonts w:ascii="Times New Roman" w:hAnsi="Times New Roman" w:cs="Times New Roman"/>
          <w:lang w:val="x-none"/>
        </w:rPr>
        <w:t xml:space="preserve"> but rather as the entire foundation for his opinion</w:t>
      </w:r>
      <w:r w:rsidR="007C0EFF" w:rsidRPr="001630CB">
        <w:rPr>
          <w:rFonts w:ascii="Times New Roman" w:hAnsi="Times New Roman" w:cs="Times New Roman"/>
        </w:rPr>
        <w:t>”</w:t>
      </w:r>
      <w:r w:rsidR="007C0EFF" w:rsidRPr="001630CB">
        <w:rPr>
          <w:rFonts w:ascii="Times New Roman" w:hAnsi="Times New Roman" w:cs="Times New Roman"/>
          <w:lang w:val="x-none"/>
        </w:rPr>
        <w:t xml:space="preserve"> </w:t>
      </w:r>
      <w:r w:rsidR="00C91B7D" w:rsidRPr="001630CB">
        <w:rPr>
          <w:rFonts w:ascii="Times New Roman" w:hAnsi="Times New Roman" w:cs="Times New Roman"/>
        </w:rPr>
        <w:t>(</w:t>
      </w:r>
      <w:r w:rsidR="007C0EFF" w:rsidRPr="001630CB">
        <w:rPr>
          <w:rFonts w:ascii="Times New Roman" w:hAnsi="Times New Roman" w:cs="Times New Roman"/>
          <w:i/>
          <w:iCs/>
        </w:rPr>
        <w:t>Ciocca</w:t>
      </w:r>
      <w:r w:rsidR="007C0EFF" w:rsidRPr="001630CB">
        <w:rPr>
          <w:rFonts w:ascii="Times New Roman" w:hAnsi="Times New Roman" w:cs="Times New Roman"/>
        </w:rPr>
        <w:t xml:space="preserve"> at 672-</w:t>
      </w:r>
      <w:r w:rsidR="00511113" w:rsidRPr="001630CB">
        <w:rPr>
          <w:rFonts w:ascii="Times New Roman" w:hAnsi="Times New Roman" w:cs="Times New Roman"/>
        </w:rPr>
        <w:t>6</w:t>
      </w:r>
      <w:r w:rsidR="007C0EFF" w:rsidRPr="001630CB">
        <w:rPr>
          <w:rFonts w:ascii="Times New Roman" w:hAnsi="Times New Roman" w:cs="Times New Roman"/>
        </w:rPr>
        <w:t>73</w:t>
      </w:r>
      <w:r w:rsidR="00C91B7D" w:rsidRPr="001630CB">
        <w:rPr>
          <w:rFonts w:ascii="Times New Roman" w:hAnsi="Times New Roman" w:cs="Times New Roman"/>
        </w:rPr>
        <w:t xml:space="preserve"> [citations omitted])</w:t>
      </w:r>
      <w:r w:rsidR="007C0EFF" w:rsidRPr="001630CB">
        <w:rPr>
          <w:rFonts w:ascii="Times New Roman" w:hAnsi="Times New Roman" w:cs="Times New Roman"/>
        </w:rPr>
        <w:t>.</w:t>
      </w:r>
      <w:r w:rsidR="00C91B7D" w:rsidRPr="001630CB">
        <w:rPr>
          <w:rFonts w:ascii="Times New Roman" w:hAnsi="Times New Roman" w:cs="Times New Roman"/>
        </w:rPr>
        <w:t xml:space="preserve"> </w:t>
      </w:r>
      <w:r w:rsidR="007C0EFF" w:rsidRPr="001630CB">
        <w:rPr>
          <w:rFonts w:ascii="Times New Roman" w:hAnsi="Times New Roman" w:cs="Times New Roman"/>
        </w:rPr>
        <w:t>The Court of Appeals affirmed holding: “</w:t>
      </w:r>
      <w:r w:rsidR="007C0EFF" w:rsidRPr="001630CB">
        <w:rPr>
          <w:rFonts w:ascii="Times New Roman" w:hAnsi="Times New Roman" w:cs="Times New Roman"/>
          <w:lang w:val="x-none"/>
        </w:rPr>
        <w:t>Plaintiff did not lay an adequate foundation for the testimony of his experts</w:t>
      </w:r>
      <w:r w:rsidR="007C0EFF" w:rsidRPr="001630CB">
        <w:rPr>
          <w:rFonts w:ascii="Times New Roman" w:hAnsi="Times New Roman" w:cs="Times New Roman"/>
        </w:rPr>
        <w:t>”</w:t>
      </w:r>
      <w:r w:rsidR="00AF6012" w:rsidRPr="001630CB">
        <w:rPr>
          <w:rFonts w:ascii="Times New Roman" w:hAnsi="Times New Roman" w:cs="Times New Roman"/>
        </w:rPr>
        <w:t xml:space="preserve"> (</w:t>
      </w:r>
      <w:r w:rsidR="00F31397" w:rsidRPr="001630CB">
        <w:rPr>
          <w:rFonts w:ascii="Times New Roman" w:hAnsi="Times New Roman" w:cs="Times New Roman"/>
          <w:i/>
          <w:iCs/>
        </w:rPr>
        <w:t>Ciocca</w:t>
      </w:r>
      <w:r w:rsidR="00F31397" w:rsidRPr="001630CB">
        <w:rPr>
          <w:rFonts w:ascii="Times New Roman" w:hAnsi="Times New Roman" w:cs="Times New Roman"/>
        </w:rPr>
        <w:t>, 5 NY3d at 836</w:t>
      </w:r>
      <w:r w:rsidR="00AF6012" w:rsidRPr="001630CB">
        <w:rPr>
          <w:rFonts w:ascii="Times New Roman" w:hAnsi="Times New Roman" w:cs="Times New Roman"/>
        </w:rPr>
        <w:t xml:space="preserve">; </w:t>
      </w:r>
      <w:r w:rsidR="00AF6012" w:rsidRPr="001630CB">
        <w:rPr>
          <w:rFonts w:ascii="Times New Roman" w:hAnsi="Times New Roman" w:cs="Times New Roman"/>
          <w:i/>
          <w:iCs/>
        </w:rPr>
        <w:t>s</w:t>
      </w:r>
      <w:r w:rsidR="007C0EFF" w:rsidRPr="001630CB">
        <w:rPr>
          <w:rFonts w:ascii="Times New Roman" w:hAnsi="Times New Roman" w:cs="Times New Roman"/>
          <w:i/>
          <w:iCs/>
        </w:rPr>
        <w:t>ee also</w:t>
      </w:r>
      <w:r w:rsidR="007C0EFF" w:rsidRPr="001630CB">
        <w:rPr>
          <w:rFonts w:ascii="Times New Roman" w:hAnsi="Times New Roman" w:cs="Times New Roman"/>
        </w:rPr>
        <w:t xml:space="preserve"> </w:t>
      </w:r>
      <w:r w:rsidR="007C0EFF" w:rsidRPr="001630CB">
        <w:rPr>
          <w:rFonts w:ascii="Times New Roman" w:hAnsi="Times New Roman" w:cs="Times New Roman"/>
          <w:i/>
          <w:lang w:val="x-none"/>
        </w:rPr>
        <w:t>Borden v Brady</w:t>
      </w:r>
      <w:r w:rsidR="007C0EFF" w:rsidRPr="001630CB">
        <w:rPr>
          <w:rFonts w:ascii="Times New Roman" w:hAnsi="Times New Roman" w:cs="Times New Roman"/>
          <w:iCs/>
          <w:lang w:val="x-none"/>
        </w:rPr>
        <w:t>,</w:t>
      </w:r>
      <w:r w:rsidR="007C0EFF" w:rsidRPr="001630CB">
        <w:rPr>
          <w:rFonts w:ascii="Times New Roman" w:hAnsi="Times New Roman" w:cs="Times New Roman"/>
          <w:i/>
          <w:lang w:val="x-none"/>
        </w:rPr>
        <w:t xml:space="preserve"> </w:t>
      </w:r>
      <w:r w:rsidR="007C0EFF" w:rsidRPr="001630CB">
        <w:rPr>
          <w:rFonts w:ascii="Times New Roman" w:hAnsi="Times New Roman" w:cs="Times New Roman"/>
          <w:lang w:val="x-none"/>
        </w:rPr>
        <w:t>92 AD2d 983</w:t>
      </w:r>
      <w:r w:rsidR="00AF6012" w:rsidRPr="001630CB">
        <w:rPr>
          <w:rFonts w:ascii="Times New Roman" w:hAnsi="Times New Roman" w:cs="Times New Roman"/>
        </w:rPr>
        <w:t>, 984</w:t>
      </w:r>
      <w:r w:rsidR="007C0EFF" w:rsidRPr="001630CB">
        <w:rPr>
          <w:rFonts w:ascii="Times New Roman" w:hAnsi="Times New Roman" w:cs="Times New Roman"/>
        </w:rPr>
        <w:t xml:space="preserve"> [3d Dept 1983] [error was committed where a neurologist’s report “</w:t>
      </w:r>
      <w:r w:rsidR="007C0EFF" w:rsidRPr="001630CB">
        <w:rPr>
          <w:rFonts w:ascii="Times New Roman" w:hAnsi="Times New Roman" w:cs="Times New Roman"/>
          <w:lang w:val="x-none"/>
        </w:rPr>
        <w:t xml:space="preserve">constituted </w:t>
      </w:r>
      <w:r w:rsidR="00AF6012" w:rsidRPr="001630CB">
        <w:rPr>
          <w:rFonts w:ascii="Times New Roman" w:hAnsi="Times New Roman" w:cs="Times New Roman"/>
        </w:rPr>
        <w:t xml:space="preserve">an </w:t>
      </w:r>
      <w:r w:rsidR="007C0EFF" w:rsidRPr="001630CB">
        <w:rPr>
          <w:rFonts w:ascii="Times New Roman" w:hAnsi="Times New Roman" w:cs="Times New Roman"/>
          <w:lang w:val="x-none"/>
        </w:rPr>
        <w:t xml:space="preserve">expression of opinion on </w:t>
      </w:r>
      <w:r w:rsidR="00AF6012" w:rsidRPr="001630CB">
        <w:rPr>
          <w:rFonts w:ascii="Times New Roman" w:hAnsi="Times New Roman" w:cs="Times New Roman"/>
        </w:rPr>
        <w:t xml:space="preserve">the </w:t>
      </w:r>
      <w:r w:rsidR="007C0EFF" w:rsidRPr="001630CB">
        <w:rPr>
          <w:rFonts w:ascii="Times New Roman" w:hAnsi="Times New Roman" w:cs="Times New Roman"/>
          <w:lang w:val="x-none"/>
        </w:rPr>
        <w:t xml:space="preserve">crucial issue of </w:t>
      </w:r>
      <w:r w:rsidR="00AF6012" w:rsidRPr="001630CB">
        <w:rPr>
          <w:rFonts w:ascii="Times New Roman" w:hAnsi="Times New Roman" w:cs="Times New Roman"/>
        </w:rPr>
        <w:t xml:space="preserve">the </w:t>
      </w:r>
      <w:r w:rsidR="007C0EFF" w:rsidRPr="001630CB">
        <w:rPr>
          <w:rFonts w:ascii="Times New Roman" w:hAnsi="Times New Roman" w:cs="Times New Roman"/>
          <w:lang w:val="x-none"/>
        </w:rPr>
        <w:t>permanency of plaintiff's</w:t>
      </w:r>
      <w:r w:rsidR="007C0EFF" w:rsidRPr="001630CB">
        <w:rPr>
          <w:rFonts w:ascii="Times New Roman" w:hAnsi="Times New Roman" w:cs="Times New Roman"/>
        </w:rPr>
        <w:t xml:space="preserve"> </w:t>
      </w:r>
      <w:r w:rsidR="007C0EFF" w:rsidRPr="001630CB">
        <w:rPr>
          <w:rFonts w:ascii="Times New Roman" w:hAnsi="Times New Roman" w:cs="Times New Roman"/>
          <w:lang w:val="x-none"/>
        </w:rPr>
        <w:t xml:space="preserve">injuries and formed </w:t>
      </w:r>
      <w:r w:rsidR="00AF6012" w:rsidRPr="001630CB">
        <w:rPr>
          <w:rFonts w:ascii="Times New Roman" w:hAnsi="Times New Roman" w:cs="Times New Roman"/>
        </w:rPr>
        <w:t xml:space="preserve">the </w:t>
      </w:r>
      <w:r w:rsidR="007C0EFF" w:rsidRPr="001630CB">
        <w:rPr>
          <w:rFonts w:ascii="Times New Roman" w:hAnsi="Times New Roman" w:cs="Times New Roman"/>
          <w:lang w:val="x-none"/>
        </w:rPr>
        <w:t xml:space="preserve">principal basis for </w:t>
      </w:r>
      <w:r w:rsidR="00AF6012" w:rsidRPr="001630CB">
        <w:rPr>
          <w:rFonts w:ascii="Times New Roman" w:hAnsi="Times New Roman" w:cs="Times New Roman"/>
        </w:rPr>
        <w:t xml:space="preserve">the </w:t>
      </w:r>
      <w:r w:rsidR="007C0EFF" w:rsidRPr="001630CB">
        <w:rPr>
          <w:rFonts w:ascii="Times New Roman" w:hAnsi="Times New Roman" w:cs="Times New Roman"/>
          <w:lang w:val="x-none"/>
        </w:rPr>
        <w:t>expert witness</w:t>
      </w:r>
      <w:r w:rsidR="001832B5" w:rsidRPr="001630CB">
        <w:rPr>
          <w:rFonts w:ascii="Times New Roman" w:hAnsi="Times New Roman" w:cs="Times New Roman"/>
        </w:rPr>
        <w:t>’</w:t>
      </w:r>
      <w:r w:rsidR="007C0EFF" w:rsidRPr="001630CB">
        <w:rPr>
          <w:rFonts w:ascii="Times New Roman" w:hAnsi="Times New Roman" w:cs="Times New Roman"/>
          <w:lang w:val="x-none"/>
        </w:rPr>
        <w:t xml:space="preserve"> opinion on </w:t>
      </w:r>
      <w:r w:rsidR="00AF6012" w:rsidRPr="001630CB">
        <w:rPr>
          <w:rFonts w:ascii="Times New Roman" w:hAnsi="Times New Roman" w:cs="Times New Roman"/>
        </w:rPr>
        <w:t xml:space="preserve">the </w:t>
      </w:r>
      <w:r w:rsidR="007C0EFF" w:rsidRPr="001630CB">
        <w:rPr>
          <w:rFonts w:ascii="Times New Roman" w:hAnsi="Times New Roman" w:cs="Times New Roman"/>
          <w:lang w:val="x-none"/>
        </w:rPr>
        <w:t>same issue, not merely</w:t>
      </w:r>
      <w:r w:rsidR="007C0EFF" w:rsidRPr="001630CB">
        <w:rPr>
          <w:rFonts w:ascii="Times New Roman" w:hAnsi="Times New Roman" w:cs="Times New Roman"/>
        </w:rPr>
        <w:t xml:space="preserve"> </w:t>
      </w:r>
      <w:r w:rsidR="00AF6012" w:rsidRPr="001630CB">
        <w:rPr>
          <w:rFonts w:ascii="Times New Roman" w:hAnsi="Times New Roman" w:cs="Times New Roman"/>
        </w:rPr>
        <w:t xml:space="preserve">a </w:t>
      </w:r>
      <w:r w:rsidR="007C0EFF" w:rsidRPr="001630CB">
        <w:rPr>
          <w:rFonts w:ascii="Times New Roman" w:hAnsi="Times New Roman" w:cs="Times New Roman"/>
          <w:lang w:val="x-none"/>
        </w:rPr>
        <w:t xml:space="preserve">link in </w:t>
      </w:r>
      <w:r w:rsidR="00AF6012" w:rsidRPr="001630CB">
        <w:rPr>
          <w:rFonts w:ascii="Times New Roman" w:hAnsi="Times New Roman" w:cs="Times New Roman"/>
        </w:rPr>
        <w:t xml:space="preserve">the </w:t>
      </w:r>
      <w:r w:rsidR="007C0EFF" w:rsidRPr="001630CB">
        <w:rPr>
          <w:rFonts w:ascii="Times New Roman" w:hAnsi="Times New Roman" w:cs="Times New Roman"/>
          <w:lang w:val="x-none"/>
        </w:rPr>
        <w:t>chain of data upon which that witness relied</w:t>
      </w:r>
      <w:r w:rsidR="007C0EFF" w:rsidRPr="001630CB">
        <w:rPr>
          <w:rFonts w:ascii="Times New Roman" w:hAnsi="Times New Roman" w:cs="Times New Roman"/>
        </w:rPr>
        <w:t xml:space="preserve">”]; </w:t>
      </w:r>
      <w:r w:rsidR="007C0EFF" w:rsidRPr="001630CB">
        <w:rPr>
          <w:rFonts w:ascii="Times New Roman" w:hAnsi="Times New Roman" w:cs="Times New Roman"/>
          <w:i/>
          <w:iCs/>
          <w:lang w:val="x-none"/>
        </w:rPr>
        <w:t>O</w:t>
      </w:r>
      <w:r w:rsidR="001832B5" w:rsidRPr="001630CB">
        <w:rPr>
          <w:rFonts w:ascii="Times New Roman" w:hAnsi="Times New Roman" w:cs="Times New Roman"/>
          <w:i/>
          <w:iCs/>
        </w:rPr>
        <w:t>’</w:t>
      </w:r>
      <w:r w:rsidR="007C0EFF" w:rsidRPr="001630CB">
        <w:rPr>
          <w:rFonts w:ascii="Times New Roman" w:hAnsi="Times New Roman" w:cs="Times New Roman"/>
          <w:i/>
          <w:iCs/>
          <w:lang w:val="x-none"/>
        </w:rPr>
        <w:t>Shea v Sarro</w:t>
      </w:r>
      <w:r w:rsidR="007C0EFF" w:rsidRPr="001630CB">
        <w:rPr>
          <w:rFonts w:ascii="Times New Roman" w:hAnsi="Times New Roman" w:cs="Times New Roman"/>
          <w:lang w:val="x-none"/>
        </w:rPr>
        <w:t>, 106 AD2d 435</w:t>
      </w:r>
      <w:r w:rsidR="00AF6012" w:rsidRPr="001630CB">
        <w:rPr>
          <w:rFonts w:ascii="Times New Roman" w:hAnsi="Times New Roman" w:cs="Times New Roman"/>
        </w:rPr>
        <w:t>, 437</w:t>
      </w:r>
      <w:r w:rsidR="007C0EFF" w:rsidRPr="001630CB">
        <w:rPr>
          <w:rFonts w:ascii="Times New Roman" w:hAnsi="Times New Roman" w:cs="Times New Roman"/>
          <w:lang w:val="x-none"/>
        </w:rPr>
        <w:t xml:space="preserve"> </w:t>
      </w:r>
      <w:r w:rsidR="00AF6012" w:rsidRPr="001630CB">
        <w:rPr>
          <w:rFonts w:ascii="Times New Roman" w:hAnsi="Times New Roman" w:cs="Times New Roman"/>
        </w:rPr>
        <w:t>[</w:t>
      </w:r>
      <w:r w:rsidR="007C0EFF" w:rsidRPr="001630CB">
        <w:rPr>
          <w:rFonts w:ascii="Times New Roman" w:hAnsi="Times New Roman" w:cs="Times New Roman"/>
        </w:rPr>
        <w:t xml:space="preserve">2d Dept </w:t>
      </w:r>
      <w:r w:rsidR="007C0EFF" w:rsidRPr="001630CB">
        <w:rPr>
          <w:rFonts w:ascii="Times New Roman" w:hAnsi="Times New Roman" w:cs="Times New Roman"/>
          <w:lang w:val="x-none"/>
        </w:rPr>
        <w:t>1984</w:t>
      </w:r>
      <w:r w:rsidR="007C0EFF" w:rsidRPr="001630CB">
        <w:rPr>
          <w:rFonts w:ascii="Times New Roman" w:hAnsi="Times New Roman" w:cs="Times New Roman"/>
        </w:rPr>
        <w:t>] [expert witnesses “</w:t>
      </w:r>
      <w:r w:rsidR="007C0EFF" w:rsidRPr="001630CB">
        <w:rPr>
          <w:rFonts w:ascii="Times New Roman" w:hAnsi="Times New Roman" w:cs="Times New Roman"/>
          <w:lang w:val="x-none"/>
        </w:rPr>
        <w:t>may not rely primarily upon the opinions</w:t>
      </w:r>
      <w:r w:rsidR="007C0EFF" w:rsidRPr="001630CB">
        <w:rPr>
          <w:rFonts w:ascii="Times New Roman" w:hAnsi="Times New Roman" w:cs="Times New Roman"/>
        </w:rPr>
        <w:t xml:space="preserve"> </w:t>
      </w:r>
      <w:r w:rsidR="007C0EFF" w:rsidRPr="001630CB">
        <w:rPr>
          <w:rFonts w:ascii="Times New Roman" w:hAnsi="Times New Roman" w:cs="Times New Roman"/>
          <w:lang w:val="x-none"/>
        </w:rPr>
        <w:t>by physicians who were not called as witnesses at trial</w:t>
      </w:r>
      <w:r w:rsidR="007C0EFF" w:rsidRPr="001630CB">
        <w:rPr>
          <w:rFonts w:ascii="Times New Roman" w:hAnsi="Times New Roman" w:cs="Times New Roman"/>
        </w:rPr>
        <w:t>”</w:t>
      </w:r>
      <w:r w:rsidR="00AF6012" w:rsidRPr="001630CB">
        <w:rPr>
          <w:rFonts w:ascii="Times New Roman" w:hAnsi="Times New Roman" w:cs="Times New Roman"/>
        </w:rPr>
        <w:t xml:space="preserve"> (</w:t>
      </w:r>
      <w:r w:rsidR="007C0EFF" w:rsidRPr="001630CB">
        <w:rPr>
          <w:rFonts w:ascii="Times New Roman" w:hAnsi="Times New Roman" w:cs="Times New Roman"/>
        </w:rPr>
        <w:t xml:space="preserve">citing </w:t>
      </w:r>
      <w:r w:rsidR="007C0EFF" w:rsidRPr="001630CB">
        <w:rPr>
          <w:rFonts w:ascii="Times New Roman" w:hAnsi="Times New Roman" w:cs="Times New Roman"/>
          <w:i/>
          <w:iCs/>
        </w:rPr>
        <w:t>Borden</w:t>
      </w:r>
      <w:r w:rsidR="00AF6012" w:rsidRPr="001630CB">
        <w:rPr>
          <w:rFonts w:ascii="Times New Roman" w:hAnsi="Times New Roman" w:cs="Times New Roman"/>
        </w:rPr>
        <w:t>)</w:t>
      </w:r>
      <w:r w:rsidR="007C0EFF" w:rsidRPr="001630CB">
        <w:rPr>
          <w:rFonts w:ascii="Times New Roman" w:hAnsi="Times New Roman" w:cs="Times New Roman"/>
        </w:rPr>
        <w:t>]</w:t>
      </w:r>
      <w:r w:rsidR="00AF6012" w:rsidRPr="001630CB">
        <w:rPr>
          <w:rFonts w:ascii="Times New Roman" w:hAnsi="Times New Roman" w:cs="Times New Roman"/>
        </w:rPr>
        <w:t xml:space="preserve">; </w:t>
      </w:r>
      <w:r w:rsidR="007C0EFF" w:rsidRPr="001630CB">
        <w:rPr>
          <w:rFonts w:ascii="Times New Roman" w:hAnsi="Times New Roman" w:cs="Times New Roman"/>
          <w:i/>
          <w:iCs/>
          <w:lang w:val="x-none"/>
        </w:rPr>
        <w:t>Sigue v Chemical Bank</w:t>
      </w:r>
      <w:r w:rsidR="007C0EFF" w:rsidRPr="001630CB">
        <w:rPr>
          <w:rFonts w:ascii="Times New Roman" w:hAnsi="Times New Roman" w:cs="Times New Roman"/>
          <w:lang w:val="x-none"/>
        </w:rPr>
        <w:t xml:space="preserve">, </w:t>
      </w:r>
      <w:r w:rsidR="007C0EFF" w:rsidRPr="001630CB">
        <w:rPr>
          <w:rFonts w:ascii="Times New Roman" w:hAnsi="Times New Roman" w:cs="Times New Roman"/>
          <w:lang w:val="x-none"/>
        </w:rPr>
        <w:lastRenderedPageBreak/>
        <w:t>284</w:t>
      </w:r>
      <w:r w:rsidR="007C0EFF" w:rsidRPr="001630CB">
        <w:rPr>
          <w:rFonts w:ascii="Times New Roman" w:hAnsi="Times New Roman" w:cs="Times New Roman"/>
          <w:b/>
          <w:bCs/>
          <w:lang w:val="x-none"/>
        </w:rPr>
        <w:t xml:space="preserve"> </w:t>
      </w:r>
      <w:r w:rsidR="007C0EFF" w:rsidRPr="001630CB">
        <w:rPr>
          <w:rFonts w:ascii="Times New Roman" w:hAnsi="Times New Roman" w:cs="Times New Roman"/>
          <w:lang w:val="x-none"/>
        </w:rPr>
        <w:t>AD2d 246</w:t>
      </w:r>
      <w:r w:rsidR="00511113" w:rsidRPr="001630CB">
        <w:rPr>
          <w:rFonts w:ascii="Times New Roman" w:hAnsi="Times New Roman" w:cs="Times New Roman"/>
        </w:rPr>
        <w:t>, 247</w:t>
      </w:r>
      <w:r w:rsidR="007C0EFF" w:rsidRPr="001630CB">
        <w:rPr>
          <w:rFonts w:ascii="Times New Roman" w:hAnsi="Times New Roman" w:cs="Times New Roman"/>
          <w:lang w:val="x-none"/>
        </w:rPr>
        <w:t xml:space="preserve"> </w:t>
      </w:r>
      <w:r w:rsidR="007C0EFF" w:rsidRPr="001630CB">
        <w:rPr>
          <w:rFonts w:ascii="Times New Roman" w:hAnsi="Times New Roman" w:cs="Times New Roman"/>
        </w:rPr>
        <w:t>[1</w:t>
      </w:r>
      <w:r w:rsidR="00AF6012" w:rsidRPr="001630CB">
        <w:rPr>
          <w:rFonts w:ascii="Times New Roman" w:hAnsi="Times New Roman" w:cs="Times New Roman"/>
        </w:rPr>
        <w:t>st</w:t>
      </w:r>
      <w:r w:rsidR="00AF6012" w:rsidRPr="001630CB">
        <w:rPr>
          <w:rFonts w:ascii="Times New Roman" w:hAnsi="Times New Roman" w:cs="Times New Roman"/>
          <w:vertAlign w:val="superscript"/>
        </w:rPr>
        <w:t xml:space="preserve"> </w:t>
      </w:r>
      <w:r w:rsidR="007C0EFF" w:rsidRPr="001630CB">
        <w:rPr>
          <w:rFonts w:ascii="Times New Roman" w:hAnsi="Times New Roman" w:cs="Times New Roman"/>
        </w:rPr>
        <w:t xml:space="preserve">Dept </w:t>
      </w:r>
      <w:r w:rsidR="007C0EFF" w:rsidRPr="001630CB">
        <w:rPr>
          <w:rFonts w:ascii="Times New Roman" w:hAnsi="Times New Roman" w:cs="Times New Roman"/>
          <w:lang w:val="x-none"/>
        </w:rPr>
        <w:t>2001</w:t>
      </w:r>
      <w:r w:rsidR="007C0EFF" w:rsidRPr="001630CB">
        <w:rPr>
          <w:rFonts w:ascii="Times New Roman" w:hAnsi="Times New Roman" w:cs="Times New Roman"/>
        </w:rPr>
        <w:t xml:space="preserve">] [error where an </w:t>
      </w:r>
      <w:r w:rsidR="007C0EFF" w:rsidRPr="001630CB">
        <w:rPr>
          <w:rFonts w:ascii="Times New Roman" w:hAnsi="Times New Roman" w:cs="Times New Roman"/>
          <w:lang w:val="x-none"/>
        </w:rPr>
        <w:t>arthrogram report</w:t>
      </w:r>
      <w:r w:rsidR="007C0EFF" w:rsidRPr="001630CB">
        <w:rPr>
          <w:rFonts w:ascii="Times New Roman" w:hAnsi="Times New Roman" w:cs="Times New Roman"/>
        </w:rPr>
        <w:t xml:space="preserve"> “</w:t>
      </w:r>
      <w:r w:rsidR="007C0EFF" w:rsidRPr="001630CB">
        <w:rPr>
          <w:rFonts w:ascii="Times New Roman" w:hAnsi="Times New Roman" w:cs="Times New Roman"/>
          <w:lang w:val="x-none"/>
        </w:rPr>
        <w:t>formed the principal basis for the</w:t>
      </w:r>
      <w:r w:rsidR="007C0EFF" w:rsidRPr="001630CB">
        <w:rPr>
          <w:rFonts w:ascii="Times New Roman" w:hAnsi="Times New Roman" w:cs="Times New Roman"/>
        </w:rPr>
        <w:t xml:space="preserve"> </w:t>
      </w:r>
      <w:r w:rsidR="007C0EFF" w:rsidRPr="001630CB">
        <w:rPr>
          <w:rFonts w:ascii="Times New Roman" w:hAnsi="Times New Roman" w:cs="Times New Roman"/>
          <w:lang w:val="x-none"/>
        </w:rPr>
        <w:t>neurologist</w:t>
      </w:r>
      <w:r w:rsidR="001832B5" w:rsidRPr="001630CB">
        <w:rPr>
          <w:rFonts w:ascii="Times New Roman" w:hAnsi="Times New Roman" w:cs="Times New Roman"/>
        </w:rPr>
        <w:t>’</w:t>
      </w:r>
      <w:r w:rsidR="007C0EFF" w:rsidRPr="001630CB">
        <w:rPr>
          <w:rFonts w:ascii="Times New Roman" w:hAnsi="Times New Roman" w:cs="Times New Roman"/>
          <w:lang w:val="x-none"/>
        </w:rPr>
        <w:t>s opinion</w:t>
      </w:r>
      <w:r w:rsidR="00AF6012" w:rsidRPr="001630CB">
        <w:rPr>
          <w:rFonts w:ascii="Times New Roman" w:hAnsi="Times New Roman" w:cs="Times New Roman"/>
        </w:rPr>
        <w:t xml:space="preserve"> </w:t>
      </w:r>
      <w:r w:rsidR="007C0EFF" w:rsidRPr="001630CB">
        <w:rPr>
          <w:rFonts w:ascii="Times New Roman" w:hAnsi="Times New Roman" w:cs="Times New Roman"/>
        </w:rPr>
        <w:t>. . .</w:t>
      </w:r>
      <w:r w:rsidR="007C0EFF" w:rsidRPr="001630CB">
        <w:rPr>
          <w:rFonts w:ascii="Times New Roman" w:hAnsi="Times New Roman" w:cs="Times New Roman"/>
          <w:lang w:val="x-none"/>
        </w:rPr>
        <w:t xml:space="preserve"> </w:t>
      </w:r>
      <w:r w:rsidR="007C0EFF" w:rsidRPr="001630CB">
        <w:rPr>
          <w:rFonts w:ascii="Times New Roman" w:hAnsi="Times New Roman" w:cs="Times New Roman"/>
        </w:rPr>
        <w:t>‘</w:t>
      </w:r>
      <w:r w:rsidR="007C0EFF" w:rsidRPr="001630CB">
        <w:rPr>
          <w:rFonts w:ascii="Times New Roman" w:hAnsi="Times New Roman" w:cs="Times New Roman"/>
          <w:lang w:val="x-none"/>
        </w:rPr>
        <w:t>not merely a link in the chain of data upon which</w:t>
      </w:r>
      <w:r w:rsidR="007C0EFF" w:rsidRPr="001630CB">
        <w:rPr>
          <w:rFonts w:ascii="Times New Roman" w:hAnsi="Times New Roman" w:cs="Times New Roman"/>
        </w:rPr>
        <w:t xml:space="preserve"> </w:t>
      </w:r>
      <w:r w:rsidR="007C0EFF" w:rsidRPr="001630CB">
        <w:rPr>
          <w:rFonts w:ascii="Times New Roman" w:hAnsi="Times New Roman" w:cs="Times New Roman"/>
          <w:lang w:val="x-none"/>
        </w:rPr>
        <w:t>that witness relied</w:t>
      </w:r>
      <w:r w:rsidR="007C0EFF" w:rsidRPr="001630CB">
        <w:rPr>
          <w:rFonts w:ascii="Times New Roman" w:hAnsi="Times New Roman" w:cs="Times New Roman"/>
        </w:rPr>
        <w:t>’</w:t>
      </w:r>
      <w:r w:rsidR="00AF6012" w:rsidRPr="001630CB">
        <w:rPr>
          <w:rFonts w:ascii="Times New Roman" w:hAnsi="Times New Roman" w:cs="Times New Roman"/>
        </w:rPr>
        <w:t xml:space="preserve"> </w:t>
      </w:r>
      <w:r w:rsidR="007C0EFF" w:rsidRPr="001630CB">
        <w:rPr>
          <w:rFonts w:ascii="Times New Roman" w:hAnsi="Times New Roman" w:cs="Times New Roman"/>
          <w:lang w:val="x-none"/>
        </w:rPr>
        <w:t xml:space="preserve">” </w:t>
      </w:r>
      <w:r w:rsidR="00AF6012" w:rsidRPr="001630CB">
        <w:rPr>
          <w:rFonts w:ascii="Times New Roman" w:hAnsi="Times New Roman" w:cs="Times New Roman"/>
        </w:rPr>
        <w:t>(</w:t>
      </w:r>
      <w:r w:rsidR="007C0EFF" w:rsidRPr="001630CB">
        <w:rPr>
          <w:rFonts w:ascii="Times New Roman" w:hAnsi="Times New Roman" w:cs="Times New Roman"/>
        </w:rPr>
        <w:t xml:space="preserve">citing </w:t>
      </w:r>
      <w:r w:rsidR="007C0EFF" w:rsidRPr="001630CB">
        <w:rPr>
          <w:rFonts w:ascii="Times New Roman" w:hAnsi="Times New Roman" w:cs="Times New Roman"/>
          <w:i/>
          <w:lang w:val="x-none"/>
        </w:rPr>
        <w:t>Borden</w:t>
      </w:r>
      <w:r w:rsidR="00AF6012" w:rsidRPr="001630CB">
        <w:rPr>
          <w:rFonts w:ascii="Times New Roman" w:hAnsi="Times New Roman" w:cs="Times New Roman"/>
          <w:iCs/>
        </w:rPr>
        <w:t>)</w:t>
      </w:r>
      <w:r w:rsidR="007C0EFF" w:rsidRPr="001630CB">
        <w:rPr>
          <w:rFonts w:ascii="Times New Roman" w:hAnsi="Times New Roman" w:cs="Times New Roman"/>
          <w:iCs/>
        </w:rPr>
        <w:t xml:space="preserve">]; </w:t>
      </w:r>
      <w:r w:rsidR="007C0EFF" w:rsidRPr="001630CB">
        <w:rPr>
          <w:rFonts w:ascii="Times New Roman" w:hAnsi="Times New Roman" w:cs="Times New Roman"/>
          <w:i/>
          <w:iCs/>
        </w:rPr>
        <w:t>Tornatore v Cohen</w:t>
      </w:r>
      <w:r w:rsidR="007C0EFF" w:rsidRPr="001630CB">
        <w:rPr>
          <w:rFonts w:ascii="Times New Roman" w:hAnsi="Times New Roman" w:cs="Times New Roman"/>
        </w:rPr>
        <w:t xml:space="preserve">, 162 AD3d 1503, 1505 [4th Dept 2018] [out-of-court material may be relied upon “provided </w:t>
      </w:r>
      <w:r w:rsidR="00AF6012" w:rsidRPr="001630CB">
        <w:rPr>
          <w:rFonts w:ascii="Times New Roman" w:hAnsi="Times New Roman" w:cs="Times New Roman"/>
        </w:rPr>
        <w:t xml:space="preserve">that </w:t>
      </w:r>
      <w:r w:rsidR="007C0EFF" w:rsidRPr="001630CB">
        <w:rPr>
          <w:rFonts w:ascii="Times New Roman" w:hAnsi="Times New Roman" w:cs="Times New Roman"/>
        </w:rPr>
        <w:t xml:space="preserve">it does not constitute the sole or principal basis for the expert’s opinion” </w:t>
      </w:r>
      <w:r w:rsidR="00511113" w:rsidRPr="001630CB">
        <w:rPr>
          <w:rFonts w:ascii="Times New Roman" w:hAnsi="Times New Roman" w:cs="Times New Roman"/>
        </w:rPr>
        <w:t>(</w:t>
      </w:r>
      <w:r w:rsidR="007C0EFF" w:rsidRPr="001630CB">
        <w:rPr>
          <w:rFonts w:ascii="Times New Roman" w:hAnsi="Times New Roman" w:cs="Times New Roman"/>
        </w:rPr>
        <w:t>internal quotation marks omitted</w:t>
      </w:r>
      <w:r w:rsidR="00511113" w:rsidRPr="001630CB">
        <w:rPr>
          <w:rFonts w:ascii="Times New Roman" w:hAnsi="Times New Roman" w:cs="Times New Roman"/>
        </w:rPr>
        <w:t xml:space="preserve">, citing </w:t>
      </w:r>
      <w:r w:rsidR="007C0EFF" w:rsidRPr="001630CB">
        <w:rPr>
          <w:rFonts w:ascii="Times New Roman" w:hAnsi="Times New Roman" w:cs="Times New Roman"/>
          <w:i/>
          <w:iCs/>
        </w:rPr>
        <w:t>Borden</w:t>
      </w:r>
      <w:r w:rsidR="00511113" w:rsidRPr="001630CB">
        <w:rPr>
          <w:rFonts w:ascii="Times New Roman" w:hAnsi="Times New Roman" w:cs="Times New Roman"/>
        </w:rPr>
        <w:t>)</w:t>
      </w:r>
      <w:r w:rsidR="007C0EFF" w:rsidRPr="001630CB">
        <w:rPr>
          <w:rFonts w:ascii="Times New Roman" w:hAnsi="Times New Roman" w:cs="Times New Roman"/>
        </w:rPr>
        <w:t>]</w:t>
      </w:r>
      <w:r w:rsidR="00511113" w:rsidRPr="001630CB">
        <w:rPr>
          <w:rFonts w:ascii="Times New Roman" w:hAnsi="Times New Roman" w:cs="Times New Roman"/>
        </w:rPr>
        <w:t>)</w:t>
      </w:r>
      <w:r w:rsidR="007C0EFF" w:rsidRPr="001630CB">
        <w:rPr>
          <w:rFonts w:ascii="Times New Roman" w:hAnsi="Times New Roman" w:cs="Times New Roman"/>
        </w:rPr>
        <w:t>.</w:t>
      </w:r>
    </w:p>
    <w:p w14:paraId="108B74B9" w14:textId="77777777" w:rsidR="00F6789F" w:rsidRPr="001630CB" w:rsidRDefault="00F6789F" w:rsidP="001A535B">
      <w:pPr>
        <w:pStyle w:val="L3-1"/>
        <w:widowControl/>
        <w:tabs>
          <w:tab w:val="left" w:pos="1440"/>
          <w:tab w:val="left" w:pos="2160"/>
          <w:tab w:val="left" w:pos="2880"/>
          <w:tab w:val="left" w:pos="3600"/>
          <w:tab w:val="left" w:pos="4320"/>
          <w:tab w:val="left" w:pos="5040"/>
          <w:tab w:val="left" w:pos="5760"/>
          <w:tab w:val="left" w:pos="6480"/>
          <w:tab w:val="left" w:pos="7200"/>
          <w:tab w:val="left" w:pos="7918"/>
        </w:tabs>
        <w:spacing w:line="276" w:lineRule="auto"/>
        <w:ind w:left="0" w:firstLine="0"/>
        <w:rPr>
          <w:rFonts w:ascii="Times New Roman" w:hAnsi="Times New Roman" w:cs="Times New Roman"/>
        </w:rPr>
      </w:pPr>
    </w:p>
    <w:p w14:paraId="1EA0508D" w14:textId="6E41C749" w:rsidR="005C769B" w:rsidRPr="00AA57F5" w:rsidRDefault="00D00F30" w:rsidP="00D00F30">
      <w:pPr>
        <w:pStyle w:val="L3-1"/>
        <w:widowControl/>
        <w:shd w:val="clear" w:color="auto" w:fill="FFFFFF"/>
        <w:tabs>
          <w:tab w:val="left" w:pos="720"/>
        </w:tabs>
        <w:autoSpaceDE/>
        <w:autoSpaceDN/>
        <w:adjustRightInd/>
        <w:spacing w:line="276" w:lineRule="auto"/>
        <w:ind w:left="0" w:firstLine="0"/>
        <w:rPr>
          <w:rFonts w:ascii="Times New Roman" w:hAnsi="Times New Roman" w:cs="Times New Roman"/>
          <w:shd w:val="clear" w:color="auto" w:fill="FFFFFF"/>
        </w:rPr>
      </w:pPr>
      <w:r w:rsidRPr="001630CB">
        <w:rPr>
          <w:rFonts w:ascii="Times New Roman" w:hAnsi="Times New Roman" w:cs="Times New Roman"/>
          <w:b/>
          <w:bCs/>
        </w:rPr>
        <w:tab/>
      </w:r>
      <w:r w:rsidR="00C0697F" w:rsidRPr="00AA57F5">
        <w:rPr>
          <w:rFonts w:ascii="Times New Roman" w:hAnsi="Times New Roman" w:cs="Times New Roman"/>
          <w:b/>
          <w:bCs/>
        </w:rPr>
        <w:t>Subdivision (5)</w:t>
      </w:r>
      <w:r w:rsidR="00511113" w:rsidRPr="00AA57F5">
        <w:rPr>
          <w:rFonts w:ascii="Times New Roman" w:hAnsi="Times New Roman" w:cs="Times New Roman"/>
          <w:b/>
          <w:bCs/>
        </w:rPr>
        <w:t xml:space="preserve"> </w:t>
      </w:r>
      <w:r w:rsidR="00C0697F" w:rsidRPr="00AA57F5">
        <w:rPr>
          <w:rFonts w:ascii="Times New Roman" w:hAnsi="Times New Roman" w:cs="Times New Roman"/>
          <w:b/>
          <w:bCs/>
        </w:rPr>
        <w:t>(c)</w:t>
      </w:r>
      <w:r w:rsidR="008A0C4F" w:rsidRPr="00AA57F5">
        <w:rPr>
          <w:rFonts w:ascii="Times New Roman" w:hAnsi="Times New Roman" w:cs="Times New Roman"/>
          <w:b/>
          <w:bCs/>
        </w:rPr>
        <w:t xml:space="preserve"> </w:t>
      </w:r>
      <w:r w:rsidR="002807F7" w:rsidRPr="00AA57F5">
        <w:rPr>
          <w:rFonts w:ascii="Times New Roman" w:eastAsia="Times New Roman" w:hAnsi="Times New Roman" w:cs="Times New Roman"/>
        </w:rPr>
        <w:t>i</w:t>
      </w:r>
      <w:r w:rsidR="001E6D29" w:rsidRPr="00AA57F5">
        <w:rPr>
          <w:rFonts w:ascii="Times New Roman" w:eastAsia="Times New Roman" w:hAnsi="Times New Roman" w:cs="Times New Roman"/>
        </w:rPr>
        <w:t xml:space="preserve">s derived from </w:t>
      </w:r>
      <w:r w:rsidR="002807F7" w:rsidRPr="00AA57F5">
        <w:rPr>
          <w:rFonts w:ascii="Times New Roman" w:hAnsi="Times New Roman" w:cs="Times New Roman"/>
          <w:i/>
          <w:iCs/>
        </w:rPr>
        <w:t>People v Goldstein</w:t>
      </w:r>
      <w:r w:rsidR="002807F7" w:rsidRPr="00AA57F5">
        <w:rPr>
          <w:rFonts w:ascii="Times New Roman" w:hAnsi="Times New Roman" w:cs="Times New Roman"/>
        </w:rPr>
        <w:t xml:space="preserve"> (6 NY3d 119, 12</w:t>
      </w:r>
      <w:r w:rsidR="002A061C" w:rsidRPr="00AA57F5">
        <w:rPr>
          <w:rFonts w:ascii="Times New Roman" w:hAnsi="Times New Roman" w:cs="Times New Roman"/>
        </w:rPr>
        <w:t>2</w:t>
      </w:r>
      <w:r w:rsidR="002807F7" w:rsidRPr="00AA57F5">
        <w:rPr>
          <w:rFonts w:ascii="Times New Roman" w:hAnsi="Times New Roman" w:cs="Times New Roman"/>
        </w:rPr>
        <w:t xml:space="preserve"> [2005]</w:t>
      </w:r>
      <w:r w:rsidR="001760CD" w:rsidRPr="00AA57F5">
        <w:rPr>
          <w:rFonts w:ascii="Times New Roman" w:hAnsi="Times New Roman" w:cs="Times New Roman"/>
        </w:rPr>
        <w:t>),</w:t>
      </w:r>
      <w:r w:rsidR="002807F7" w:rsidRPr="00AA57F5">
        <w:rPr>
          <w:rFonts w:ascii="Times New Roman" w:hAnsi="Times New Roman" w:cs="Times New Roman"/>
        </w:rPr>
        <w:t xml:space="preserve"> which held that</w:t>
      </w:r>
      <w:r w:rsidR="001E6D29" w:rsidRPr="00AA57F5">
        <w:rPr>
          <w:rFonts w:ascii="Times New Roman" w:eastAsia="Times New Roman" w:hAnsi="Times New Roman" w:cs="Times New Roman"/>
        </w:rPr>
        <w:t xml:space="preserve"> </w:t>
      </w:r>
      <w:r w:rsidR="001E6D29" w:rsidRPr="00AA57F5">
        <w:rPr>
          <w:rFonts w:ascii="Times New Roman" w:hAnsi="Times New Roman" w:cs="Times New Roman"/>
          <w:shd w:val="clear" w:color="auto" w:fill="FFFFFF"/>
        </w:rPr>
        <w:t xml:space="preserve">the defendant’s “constitutional right to be confronted with the witnesses against him was violated when a psychiatrist who testified for the prosecution recounted statements made to her by people who were not available for cross-examination.” </w:t>
      </w:r>
    </w:p>
    <w:p w14:paraId="12C179BD" w14:textId="77777777" w:rsidR="005C769B" w:rsidRPr="00AA57F5" w:rsidRDefault="005C769B" w:rsidP="006F34EE">
      <w:pPr>
        <w:pStyle w:val="L3-1"/>
        <w:widowControl/>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18"/>
        </w:tabs>
        <w:autoSpaceDE/>
        <w:autoSpaceDN/>
        <w:adjustRightInd/>
        <w:spacing w:line="276" w:lineRule="auto"/>
        <w:ind w:left="0" w:firstLine="0"/>
        <w:rPr>
          <w:rFonts w:ascii="Times New Roman" w:hAnsi="Times New Roman" w:cs="Times New Roman"/>
          <w:b/>
          <w:bCs/>
        </w:rPr>
      </w:pPr>
    </w:p>
    <w:p w14:paraId="553F090E" w14:textId="632FE900" w:rsidR="006733F9" w:rsidRPr="001630CB" w:rsidRDefault="006F34EE" w:rsidP="006F34EE">
      <w:pPr>
        <w:pStyle w:val="L3-1"/>
        <w:widowControl/>
        <w:shd w:val="clear" w:color="auto" w:fill="FFFFFF"/>
        <w:tabs>
          <w:tab w:val="left" w:pos="720"/>
          <w:tab w:val="left" w:pos="1080"/>
          <w:tab w:val="left" w:pos="1440"/>
          <w:tab w:val="left" w:pos="2160"/>
          <w:tab w:val="left" w:pos="2880"/>
          <w:tab w:val="left" w:pos="3600"/>
          <w:tab w:val="left" w:pos="4320"/>
          <w:tab w:val="left" w:pos="5040"/>
          <w:tab w:val="left" w:pos="5760"/>
          <w:tab w:val="left" w:pos="6480"/>
          <w:tab w:val="left" w:pos="7200"/>
          <w:tab w:val="left" w:pos="7918"/>
        </w:tabs>
        <w:autoSpaceDE/>
        <w:autoSpaceDN/>
        <w:adjustRightInd/>
        <w:spacing w:line="276" w:lineRule="auto"/>
        <w:ind w:left="0" w:firstLine="0"/>
        <w:rPr>
          <w:rFonts w:ascii="Times New Roman" w:hAnsi="Times New Roman" w:cs="Times New Roman"/>
        </w:rPr>
      </w:pPr>
      <w:r w:rsidRPr="00AA57F5">
        <w:rPr>
          <w:rFonts w:ascii="Times New Roman" w:hAnsi="Times New Roman" w:cs="Times New Roman"/>
          <w:i/>
          <w:iCs/>
          <w:shd w:val="clear" w:color="auto" w:fill="FFFFFF"/>
        </w:rPr>
        <w:tab/>
      </w:r>
      <w:r w:rsidR="0032275F" w:rsidRPr="00AA57F5">
        <w:rPr>
          <w:rFonts w:ascii="Times New Roman" w:hAnsi="Times New Roman" w:cs="Times New Roman"/>
          <w:i/>
          <w:iCs/>
          <w:shd w:val="clear" w:color="auto" w:fill="FFFFFF"/>
        </w:rPr>
        <w:t>Goldstein</w:t>
      </w:r>
      <w:r w:rsidR="0032275F" w:rsidRPr="00AA57F5">
        <w:rPr>
          <w:rFonts w:ascii="Times New Roman" w:hAnsi="Times New Roman" w:cs="Times New Roman"/>
          <w:shd w:val="clear" w:color="auto" w:fill="FFFFFF"/>
        </w:rPr>
        <w:t xml:space="preserve"> explained that </w:t>
      </w:r>
      <w:r w:rsidR="00C0697F" w:rsidRPr="00AA57F5">
        <w:rPr>
          <w:rFonts w:ascii="Times New Roman" w:hAnsi="Times New Roman" w:cs="Times New Roman"/>
        </w:rPr>
        <w:t>“</w:t>
      </w:r>
      <w:r w:rsidR="00C0697F" w:rsidRPr="001630CB">
        <w:rPr>
          <w:rFonts w:ascii="Times New Roman" w:hAnsi="Times New Roman" w:cs="Times New Roman"/>
        </w:rPr>
        <w:t xml:space="preserve">the statements made to </w:t>
      </w:r>
      <w:r w:rsidR="009D4DEB" w:rsidRPr="001630CB">
        <w:rPr>
          <w:rFonts w:ascii="Times New Roman" w:hAnsi="Times New Roman" w:cs="Times New Roman"/>
        </w:rPr>
        <w:t>[</w:t>
      </w:r>
      <w:r w:rsidR="00C0697F" w:rsidRPr="001630CB">
        <w:rPr>
          <w:rFonts w:ascii="Times New Roman" w:hAnsi="Times New Roman" w:cs="Times New Roman"/>
        </w:rPr>
        <w:t>the expert</w:t>
      </w:r>
      <w:r w:rsidR="009D4DEB" w:rsidRPr="001630CB">
        <w:rPr>
          <w:rFonts w:ascii="Times New Roman" w:hAnsi="Times New Roman" w:cs="Times New Roman"/>
        </w:rPr>
        <w:t>]</w:t>
      </w:r>
      <w:r w:rsidR="00C0697F" w:rsidRPr="001630CB">
        <w:rPr>
          <w:rFonts w:ascii="Times New Roman" w:hAnsi="Times New Roman" w:cs="Times New Roman"/>
        </w:rPr>
        <w:t xml:space="preserve"> by her interviewees were testimonial. . . . </w:t>
      </w:r>
      <w:r w:rsidR="009D4DEB" w:rsidRPr="001630CB">
        <w:rPr>
          <w:rFonts w:ascii="Times New Roman" w:hAnsi="Times New Roman" w:cs="Times New Roman"/>
        </w:rPr>
        <w:t>[</w:t>
      </w:r>
      <w:r w:rsidR="00C0697F" w:rsidRPr="001630CB">
        <w:rPr>
          <w:rFonts w:ascii="Times New Roman" w:hAnsi="Times New Roman" w:cs="Times New Roman"/>
        </w:rPr>
        <w:t>The interviewees</w:t>
      </w:r>
      <w:r w:rsidR="009D4DEB" w:rsidRPr="001630CB">
        <w:rPr>
          <w:rFonts w:ascii="Times New Roman" w:hAnsi="Times New Roman" w:cs="Times New Roman"/>
        </w:rPr>
        <w:t>]</w:t>
      </w:r>
      <w:r w:rsidR="00C0697F" w:rsidRPr="001630CB">
        <w:rPr>
          <w:rFonts w:ascii="Times New Roman" w:hAnsi="Times New Roman" w:cs="Times New Roman"/>
        </w:rPr>
        <w:t xml:space="preserve"> knew they were responding to questions from an agent of the State engaged in trial preparation</w:t>
      </w:r>
      <w:r w:rsidR="005338C8" w:rsidRPr="001630CB">
        <w:rPr>
          <w:rFonts w:ascii="Times New Roman" w:hAnsi="Times New Roman" w:cs="Times New Roman"/>
        </w:rPr>
        <w:t xml:space="preserve">. </w:t>
      </w:r>
      <w:r w:rsidR="00C0697F" w:rsidRPr="001630CB">
        <w:rPr>
          <w:rFonts w:ascii="Times New Roman" w:hAnsi="Times New Roman" w:cs="Times New Roman"/>
        </w:rPr>
        <w:t>None of them was making ‘a casual remark to an acquaintance’;</w:t>
      </w:r>
      <w:r w:rsidR="00A42429" w:rsidRPr="001630CB">
        <w:rPr>
          <w:rFonts w:ascii="Times New Roman" w:hAnsi="Times New Roman" w:cs="Times New Roman"/>
        </w:rPr>
        <w:t xml:space="preserve"> </w:t>
      </w:r>
      <w:r w:rsidR="00C0697F" w:rsidRPr="001630CB">
        <w:rPr>
          <w:rFonts w:ascii="Times New Roman" w:hAnsi="Times New Roman" w:cs="Times New Roman"/>
        </w:rPr>
        <w:t>all of them should reasonably have expected their statements ‘to be used prosecutorially’ or to ‘be available for use at a later trial.’ . . . Responses to questions asked in interviews th</w:t>
      </w:r>
      <w:r w:rsidR="00F8714D" w:rsidRPr="001630CB">
        <w:rPr>
          <w:rFonts w:ascii="Times New Roman" w:hAnsi="Times New Roman" w:cs="Times New Roman"/>
        </w:rPr>
        <w:t>at were part of the prosecution’</w:t>
      </w:r>
      <w:r w:rsidR="00C0697F" w:rsidRPr="001630CB">
        <w:rPr>
          <w:rFonts w:ascii="Times New Roman" w:hAnsi="Times New Roman" w:cs="Times New Roman"/>
        </w:rPr>
        <w:t>s trial preparation are ‘formal’ in much the same sense as ‘deposition</w:t>
      </w:r>
      <w:r w:rsidR="00A42429" w:rsidRPr="001630CB">
        <w:rPr>
          <w:rFonts w:ascii="Times New Roman" w:hAnsi="Times New Roman" w:cs="Times New Roman"/>
        </w:rPr>
        <w:t>s</w:t>
      </w:r>
      <w:r w:rsidR="00C0697F" w:rsidRPr="001630CB">
        <w:rPr>
          <w:rFonts w:ascii="Times New Roman" w:hAnsi="Times New Roman" w:cs="Times New Roman"/>
        </w:rPr>
        <w:t>’ and other materials that the Supreme Court identified as testimonial”</w:t>
      </w:r>
      <w:r w:rsidR="009C7C03" w:rsidRPr="001630CB">
        <w:rPr>
          <w:rFonts w:ascii="Times New Roman" w:hAnsi="Times New Roman" w:cs="Times New Roman"/>
        </w:rPr>
        <w:t xml:space="preserve"> (</w:t>
      </w:r>
      <w:r w:rsidR="009C7C03" w:rsidRPr="001630CB">
        <w:rPr>
          <w:rFonts w:ascii="Times New Roman" w:hAnsi="Times New Roman" w:cs="Times New Roman"/>
          <w:i/>
          <w:iCs/>
        </w:rPr>
        <w:t>id</w:t>
      </w:r>
      <w:r w:rsidR="009C7C03" w:rsidRPr="001630CB">
        <w:rPr>
          <w:rFonts w:ascii="Times New Roman" w:hAnsi="Times New Roman" w:cs="Times New Roman"/>
        </w:rPr>
        <w:t xml:space="preserve">. at 129). </w:t>
      </w:r>
      <w:r w:rsidR="00C0697F" w:rsidRPr="001630CB">
        <w:rPr>
          <w:rFonts w:ascii="Times New Roman" w:hAnsi="Times New Roman" w:cs="Times New Roman"/>
          <w:i/>
          <w:iCs/>
        </w:rPr>
        <w:t>Goldstein</w:t>
      </w:r>
      <w:r w:rsidR="00C0697F" w:rsidRPr="001630CB">
        <w:rPr>
          <w:rFonts w:ascii="Times New Roman" w:hAnsi="Times New Roman" w:cs="Times New Roman"/>
        </w:rPr>
        <w:t xml:space="preserve"> also viewed the statements in question as hearsay because they were effectively being offered for their truth; if they were not being offered for their truth, the Confrontation Clause would not normally be implicated</w:t>
      </w:r>
      <w:r w:rsidR="002878A4" w:rsidRPr="001630CB">
        <w:rPr>
          <w:rFonts w:ascii="Times New Roman" w:hAnsi="Times New Roman" w:cs="Times New Roman"/>
        </w:rPr>
        <w:t xml:space="preserve">. </w:t>
      </w:r>
    </w:p>
    <w:p w14:paraId="5A4AE720" w14:textId="77777777" w:rsidR="006733F9" w:rsidRPr="001630CB" w:rsidRDefault="006733F9" w:rsidP="006F34EE">
      <w:pPr>
        <w:pStyle w:val="L3-1"/>
        <w:widowControl/>
        <w:shd w:val="clear" w:color="auto" w:fill="FFFFFF"/>
        <w:tabs>
          <w:tab w:val="left" w:pos="1080"/>
          <w:tab w:val="left" w:pos="1440"/>
          <w:tab w:val="left" w:pos="2160"/>
          <w:tab w:val="left" w:pos="2880"/>
          <w:tab w:val="left" w:pos="3600"/>
          <w:tab w:val="left" w:pos="4320"/>
          <w:tab w:val="left" w:pos="5040"/>
          <w:tab w:val="left" w:pos="5760"/>
          <w:tab w:val="left" w:pos="6480"/>
          <w:tab w:val="left" w:pos="7200"/>
          <w:tab w:val="left" w:pos="7918"/>
        </w:tabs>
        <w:autoSpaceDE/>
        <w:autoSpaceDN/>
        <w:adjustRightInd/>
        <w:spacing w:line="276" w:lineRule="auto"/>
        <w:ind w:left="0" w:firstLine="0"/>
        <w:rPr>
          <w:rFonts w:ascii="Times New Roman" w:hAnsi="Times New Roman" w:cs="Times New Roman"/>
        </w:rPr>
      </w:pPr>
    </w:p>
    <w:p w14:paraId="3E90ED5E" w14:textId="38B4067E" w:rsidR="00DF3068" w:rsidRPr="00AA57F5" w:rsidRDefault="006F34EE" w:rsidP="006F34EE">
      <w:pPr>
        <w:widowControl/>
        <w:shd w:val="clear" w:color="auto" w:fill="FFFFFF"/>
        <w:tabs>
          <w:tab w:val="left" w:pos="720"/>
        </w:tabs>
        <w:autoSpaceDE/>
        <w:autoSpaceDN/>
        <w:adjustRightInd/>
        <w:spacing w:line="276" w:lineRule="auto"/>
        <w:jc w:val="both"/>
        <w:rPr>
          <w:rFonts w:eastAsia="Times New Roman"/>
          <w:sz w:val="24"/>
          <w:szCs w:val="24"/>
        </w:rPr>
      </w:pPr>
      <w:r w:rsidRPr="001630CB">
        <w:rPr>
          <w:rFonts w:eastAsia="Times New Roman"/>
          <w:sz w:val="24"/>
          <w:szCs w:val="24"/>
        </w:rPr>
        <w:tab/>
      </w:r>
      <w:r w:rsidR="00C07B3A" w:rsidRPr="00AA57F5">
        <w:rPr>
          <w:rFonts w:eastAsia="Times New Roman"/>
          <w:sz w:val="24"/>
          <w:szCs w:val="24"/>
        </w:rPr>
        <w:t xml:space="preserve">In a criminal proceeding, a defendant’s right of confrontation will </w:t>
      </w:r>
      <w:r w:rsidR="008C18A8" w:rsidRPr="00AA57F5">
        <w:rPr>
          <w:rFonts w:eastAsia="Times New Roman"/>
          <w:sz w:val="24"/>
          <w:szCs w:val="24"/>
        </w:rPr>
        <w:t xml:space="preserve">also </w:t>
      </w:r>
      <w:r w:rsidR="00C07B3A" w:rsidRPr="00AA57F5">
        <w:rPr>
          <w:rFonts w:eastAsia="Times New Roman"/>
          <w:sz w:val="24"/>
          <w:szCs w:val="24"/>
        </w:rPr>
        <w:t xml:space="preserve">preclude an expert from testifying to other forms of testimonial hearsay </w:t>
      </w:r>
      <w:r w:rsidR="00D804A7" w:rsidRPr="00AA57F5">
        <w:rPr>
          <w:rFonts w:eastAsia="Times New Roman"/>
          <w:sz w:val="24"/>
          <w:szCs w:val="24"/>
        </w:rPr>
        <w:t>(</w:t>
      </w:r>
      <w:r w:rsidR="009C7C03" w:rsidRPr="00AA57F5">
        <w:rPr>
          <w:rFonts w:eastAsia="Times New Roman"/>
          <w:i/>
          <w:iCs/>
          <w:sz w:val="24"/>
          <w:szCs w:val="24"/>
        </w:rPr>
        <w:t>s</w:t>
      </w:r>
      <w:r w:rsidR="00C07B3A" w:rsidRPr="00AA57F5">
        <w:rPr>
          <w:rFonts w:eastAsia="Times New Roman"/>
          <w:i/>
          <w:iCs/>
          <w:sz w:val="24"/>
          <w:szCs w:val="24"/>
        </w:rPr>
        <w:t>ee</w:t>
      </w:r>
      <w:r w:rsidR="00C07B3A" w:rsidRPr="00AA57F5">
        <w:rPr>
          <w:rFonts w:eastAsia="Times New Roman"/>
          <w:sz w:val="24"/>
          <w:szCs w:val="24"/>
        </w:rPr>
        <w:t xml:space="preserve"> </w:t>
      </w:r>
      <w:r w:rsidR="00C07B3A" w:rsidRPr="00AA57F5">
        <w:rPr>
          <w:rFonts w:eastAsia="Times New Roman"/>
          <w:i/>
          <w:iCs/>
          <w:sz w:val="24"/>
          <w:szCs w:val="24"/>
          <w:bdr w:val="none" w:sz="0" w:space="0" w:color="auto" w:frame="1"/>
        </w:rPr>
        <w:t>People v Jordan</w:t>
      </w:r>
      <w:r w:rsidR="00C07B3A" w:rsidRPr="00AA57F5">
        <w:rPr>
          <w:rFonts w:eastAsia="Times New Roman"/>
          <w:sz w:val="24"/>
          <w:szCs w:val="24"/>
        </w:rPr>
        <w:t>, 40 NY3d 396, 401 [2023] [DNA final determination constituted testimonial evidence]</w:t>
      </w:r>
      <w:r w:rsidR="00C07B3A" w:rsidRPr="00AA57F5">
        <w:rPr>
          <w:sz w:val="24"/>
          <w:szCs w:val="24"/>
        </w:rPr>
        <w:t xml:space="preserve">; </w:t>
      </w:r>
      <w:r w:rsidR="00C07B3A" w:rsidRPr="00AA57F5">
        <w:rPr>
          <w:i/>
          <w:iCs/>
          <w:sz w:val="24"/>
          <w:szCs w:val="24"/>
        </w:rPr>
        <w:t>People v Ortega</w:t>
      </w:r>
      <w:r w:rsidR="00C07B3A" w:rsidRPr="00AA57F5">
        <w:rPr>
          <w:sz w:val="24"/>
          <w:szCs w:val="24"/>
        </w:rPr>
        <w:t xml:space="preserve">, </w:t>
      </w:r>
      <w:r w:rsidR="0085456E" w:rsidRPr="00AA57F5">
        <w:rPr>
          <w:sz w:val="24"/>
          <w:szCs w:val="24"/>
        </w:rPr>
        <w:t xml:space="preserve">40 NY3d 463 </w:t>
      </w:r>
      <w:r w:rsidR="00EF5E86" w:rsidRPr="00AA57F5">
        <w:rPr>
          <w:sz w:val="24"/>
          <w:szCs w:val="24"/>
        </w:rPr>
        <w:t>[</w:t>
      </w:r>
      <w:r w:rsidR="0085456E" w:rsidRPr="00AA57F5">
        <w:rPr>
          <w:sz w:val="24"/>
          <w:szCs w:val="24"/>
        </w:rPr>
        <w:t>2023</w:t>
      </w:r>
      <w:r w:rsidR="00EF5E86" w:rsidRPr="00AA57F5">
        <w:rPr>
          <w:sz w:val="24"/>
          <w:szCs w:val="24"/>
        </w:rPr>
        <w:t>]</w:t>
      </w:r>
      <w:r w:rsidR="00C07B3A" w:rsidRPr="00AA57F5">
        <w:rPr>
          <w:sz w:val="24"/>
          <w:szCs w:val="24"/>
        </w:rPr>
        <w:t xml:space="preserve"> [Autopsy report constituted testimonial evidence]</w:t>
      </w:r>
      <w:r w:rsidR="00D804A7" w:rsidRPr="00AA57F5">
        <w:rPr>
          <w:sz w:val="24"/>
          <w:szCs w:val="24"/>
        </w:rPr>
        <w:t>).</w:t>
      </w:r>
      <w:r w:rsidR="00C07B3A" w:rsidRPr="00AA57F5">
        <w:rPr>
          <w:sz w:val="24"/>
          <w:szCs w:val="24"/>
        </w:rPr>
        <w:t xml:space="preserve"> </w:t>
      </w:r>
      <w:r w:rsidR="00EF53D8" w:rsidRPr="00AA57F5">
        <w:rPr>
          <w:sz w:val="24"/>
          <w:szCs w:val="24"/>
        </w:rPr>
        <w:t>An</w:t>
      </w:r>
      <w:r w:rsidR="00C07B3A" w:rsidRPr="00AA57F5">
        <w:rPr>
          <w:sz w:val="24"/>
          <w:szCs w:val="24"/>
        </w:rPr>
        <w:t xml:space="preserve"> expert’s testimony </w:t>
      </w:r>
      <w:r w:rsidR="00EF53D8" w:rsidRPr="00AA57F5">
        <w:rPr>
          <w:sz w:val="24"/>
          <w:szCs w:val="24"/>
        </w:rPr>
        <w:t xml:space="preserve">in </w:t>
      </w:r>
      <w:r w:rsidR="008C18A8" w:rsidRPr="00AA57F5">
        <w:rPr>
          <w:sz w:val="24"/>
          <w:szCs w:val="24"/>
        </w:rPr>
        <w:t>those instances</w:t>
      </w:r>
      <w:r w:rsidR="00EF53D8" w:rsidRPr="00AA57F5">
        <w:rPr>
          <w:sz w:val="24"/>
          <w:szCs w:val="24"/>
        </w:rPr>
        <w:t xml:space="preserve"> </w:t>
      </w:r>
      <w:r w:rsidR="00C07B3A" w:rsidRPr="00AA57F5">
        <w:rPr>
          <w:sz w:val="24"/>
          <w:szCs w:val="24"/>
        </w:rPr>
        <w:t xml:space="preserve">must be based on the expert having </w:t>
      </w:r>
      <w:r w:rsidR="00C07B3A" w:rsidRPr="00AA57F5">
        <w:rPr>
          <w:rFonts w:eastAsia="Times New Roman"/>
          <w:sz w:val="24"/>
          <w:szCs w:val="24"/>
        </w:rPr>
        <w:t xml:space="preserve">participated in or directly supervised the process in issue, or </w:t>
      </w:r>
      <w:r w:rsidR="000C1254" w:rsidRPr="00AA57F5">
        <w:rPr>
          <w:rFonts w:eastAsia="Times New Roman"/>
          <w:sz w:val="24"/>
          <w:szCs w:val="24"/>
        </w:rPr>
        <w:t xml:space="preserve">having </w:t>
      </w:r>
      <w:r w:rsidR="00C07B3A" w:rsidRPr="00AA57F5">
        <w:rPr>
          <w:rFonts w:eastAsia="Times New Roman"/>
          <w:sz w:val="24"/>
          <w:szCs w:val="24"/>
        </w:rPr>
        <w:t xml:space="preserve">conducted an independent analysis of the data </w:t>
      </w:r>
      <w:r w:rsidR="00C84C40" w:rsidRPr="00AA57F5">
        <w:rPr>
          <w:rFonts w:eastAsia="Times New Roman"/>
          <w:sz w:val="24"/>
          <w:szCs w:val="24"/>
        </w:rPr>
        <w:t>(</w:t>
      </w:r>
      <w:r w:rsidR="009C7C03" w:rsidRPr="00AA57F5">
        <w:rPr>
          <w:rFonts w:eastAsia="Times New Roman"/>
          <w:i/>
          <w:iCs/>
          <w:sz w:val="24"/>
          <w:szCs w:val="24"/>
        </w:rPr>
        <w:t>s</w:t>
      </w:r>
      <w:r w:rsidR="00C07B3A" w:rsidRPr="00AA57F5">
        <w:rPr>
          <w:rFonts w:eastAsia="Times New Roman"/>
          <w:i/>
          <w:iCs/>
          <w:sz w:val="24"/>
          <w:szCs w:val="24"/>
        </w:rPr>
        <w:t>ee</w:t>
      </w:r>
      <w:r w:rsidR="00C07B3A" w:rsidRPr="00AA57F5">
        <w:rPr>
          <w:rFonts w:eastAsia="Times New Roman"/>
          <w:sz w:val="24"/>
          <w:szCs w:val="24"/>
        </w:rPr>
        <w:t xml:space="preserve"> Guide to NY Evid rules 7.21</w:t>
      </w:r>
      <w:r w:rsidR="007174E7" w:rsidRPr="00AA57F5">
        <w:rPr>
          <w:rFonts w:eastAsia="Times New Roman"/>
          <w:sz w:val="24"/>
          <w:szCs w:val="24"/>
        </w:rPr>
        <w:t xml:space="preserve"> </w:t>
      </w:r>
      <w:r w:rsidR="00696AA9" w:rsidRPr="00AA57F5">
        <w:rPr>
          <w:rFonts w:eastAsia="Times New Roman"/>
          <w:sz w:val="24"/>
          <w:szCs w:val="24"/>
        </w:rPr>
        <w:t>[</w:t>
      </w:r>
      <w:r w:rsidR="00C07B3A" w:rsidRPr="00AA57F5">
        <w:rPr>
          <w:rFonts w:eastAsia="Times New Roman"/>
          <w:sz w:val="24"/>
          <w:szCs w:val="24"/>
        </w:rPr>
        <w:t>4</w:t>
      </w:r>
      <w:r w:rsidR="00696AA9" w:rsidRPr="00AA57F5">
        <w:rPr>
          <w:rFonts w:eastAsia="Times New Roman"/>
          <w:sz w:val="24"/>
          <w:szCs w:val="24"/>
        </w:rPr>
        <w:t>]</w:t>
      </w:r>
      <w:r w:rsidR="009C7C03" w:rsidRPr="00AA57F5">
        <w:rPr>
          <w:rFonts w:eastAsia="Times New Roman"/>
          <w:sz w:val="24"/>
          <w:szCs w:val="24"/>
        </w:rPr>
        <w:t xml:space="preserve">; </w:t>
      </w:r>
      <w:r w:rsidR="00C07B3A" w:rsidRPr="00AA57F5">
        <w:rPr>
          <w:rFonts w:eastAsia="Times New Roman"/>
          <w:sz w:val="24"/>
          <w:szCs w:val="24"/>
        </w:rPr>
        <w:t>8.02</w:t>
      </w:r>
      <w:r w:rsidR="00696AA9" w:rsidRPr="00AA57F5">
        <w:rPr>
          <w:rFonts w:eastAsia="Times New Roman"/>
          <w:sz w:val="24"/>
          <w:szCs w:val="24"/>
        </w:rPr>
        <w:t xml:space="preserve"> [</w:t>
      </w:r>
      <w:r w:rsidR="00C07B3A" w:rsidRPr="00AA57F5">
        <w:rPr>
          <w:rFonts w:eastAsia="Times New Roman"/>
          <w:sz w:val="24"/>
          <w:szCs w:val="24"/>
        </w:rPr>
        <w:t>6</w:t>
      </w:r>
      <w:r w:rsidR="00696AA9" w:rsidRPr="00AA57F5">
        <w:rPr>
          <w:rFonts w:eastAsia="Times New Roman"/>
          <w:sz w:val="24"/>
          <w:szCs w:val="24"/>
        </w:rPr>
        <w:t>]</w:t>
      </w:r>
      <w:r w:rsidR="00C07B3A" w:rsidRPr="00AA57F5">
        <w:rPr>
          <w:rFonts w:eastAsia="Times New Roman"/>
          <w:sz w:val="24"/>
          <w:szCs w:val="24"/>
        </w:rPr>
        <w:t>).</w:t>
      </w:r>
      <w:r w:rsidR="00664392" w:rsidRPr="00AA57F5">
        <w:rPr>
          <w:rFonts w:eastAsia="Times New Roman"/>
          <w:sz w:val="24"/>
          <w:szCs w:val="24"/>
        </w:rPr>
        <w:t xml:space="preserve"> </w:t>
      </w:r>
    </w:p>
    <w:p w14:paraId="72440DB9" w14:textId="77777777" w:rsidR="00174677" w:rsidRPr="00AA57F5" w:rsidRDefault="00174677" w:rsidP="006F34EE">
      <w:pPr>
        <w:widowControl/>
        <w:shd w:val="clear" w:color="auto" w:fill="FFFFFF"/>
        <w:autoSpaceDE/>
        <w:autoSpaceDN/>
        <w:adjustRightInd/>
        <w:spacing w:line="276" w:lineRule="auto"/>
        <w:jc w:val="both"/>
        <w:rPr>
          <w:sz w:val="24"/>
          <w:szCs w:val="24"/>
        </w:rPr>
      </w:pPr>
    </w:p>
    <w:p w14:paraId="65BFBD80" w14:textId="22DD507A" w:rsidR="00DF3068" w:rsidRPr="00AA57F5" w:rsidRDefault="006F34EE" w:rsidP="006F34EE">
      <w:pPr>
        <w:widowControl/>
        <w:shd w:val="clear" w:color="auto" w:fill="FFFFFF"/>
        <w:tabs>
          <w:tab w:val="left" w:pos="720"/>
        </w:tabs>
        <w:autoSpaceDE/>
        <w:autoSpaceDN/>
        <w:adjustRightInd/>
        <w:spacing w:line="276" w:lineRule="auto"/>
        <w:jc w:val="both"/>
        <w:rPr>
          <w:sz w:val="24"/>
          <w:szCs w:val="24"/>
        </w:rPr>
      </w:pPr>
      <w:r w:rsidRPr="00AA57F5">
        <w:rPr>
          <w:sz w:val="24"/>
          <w:szCs w:val="24"/>
        </w:rPr>
        <w:tab/>
      </w:r>
      <w:r w:rsidR="000B3CAE" w:rsidRPr="00AA57F5">
        <w:rPr>
          <w:sz w:val="24"/>
          <w:szCs w:val="24"/>
        </w:rPr>
        <w:t>Notably,</w:t>
      </w:r>
      <w:r w:rsidR="000B3CAE" w:rsidRPr="00AA57F5">
        <w:rPr>
          <w:i/>
          <w:iCs/>
          <w:sz w:val="24"/>
          <w:szCs w:val="24"/>
        </w:rPr>
        <w:t xml:space="preserve"> </w:t>
      </w:r>
      <w:r w:rsidR="00AC2C60" w:rsidRPr="00AA57F5">
        <w:rPr>
          <w:i/>
          <w:iCs/>
          <w:sz w:val="24"/>
          <w:szCs w:val="24"/>
        </w:rPr>
        <w:t xml:space="preserve">Goldstein </w:t>
      </w:r>
      <w:r w:rsidR="00AC2C60" w:rsidRPr="00AA57F5">
        <w:rPr>
          <w:sz w:val="24"/>
          <w:szCs w:val="24"/>
        </w:rPr>
        <w:t xml:space="preserve">cautioned </w:t>
      </w:r>
      <w:r w:rsidR="004C2D6F" w:rsidRPr="00AA57F5">
        <w:rPr>
          <w:sz w:val="24"/>
          <w:szCs w:val="24"/>
        </w:rPr>
        <w:t>that a</w:t>
      </w:r>
      <w:r w:rsidR="00BB0636" w:rsidRPr="00AA57F5">
        <w:rPr>
          <w:sz w:val="24"/>
          <w:szCs w:val="24"/>
        </w:rPr>
        <w:t>n open</w:t>
      </w:r>
      <w:r w:rsidR="004C2D6F" w:rsidRPr="00AA57F5">
        <w:rPr>
          <w:sz w:val="24"/>
          <w:szCs w:val="24"/>
        </w:rPr>
        <w:t xml:space="preserve"> qu</w:t>
      </w:r>
      <w:r w:rsidR="00477BE2" w:rsidRPr="00AA57F5">
        <w:rPr>
          <w:sz w:val="24"/>
          <w:szCs w:val="24"/>
        </w:rPr>
        <w:t>e</w:t>
      </w:r>
      <w:r w:rsidR="004C2D6F" w:rsidRPr="00AA57F5">
        <w:rPr>
          <w:sz w:val="24"/>
          <w:szCs w:val="24"/>
        </w:rPr>
        <w:t>stion</w:t>
      </w:r>
      <w:r w:rsidR="00AA57F5" w:rsidRPr="00AA57F5">
        <w:rPr>
          <w:sz w:val="24"/>
          <w:szCs w:val="24"/>
        </w:rPr>
        <w:t xml:space="preserve"> </w:t>
      </w:r>
      <w:r w:rsidR="00AA1FF7" w:rsidRPr="00AA57F5">
        <w:rPr>
          <w:sz w:val="24"/>
          <w:szCs w:val="24"/>
        </w:rPr>
        <w:t xml:space="preserve">remained </w:t>
      </w:r>
      <w:r w:rsidR="00A13E5F" w:rsidRPr="00AA57F5">
        <w:rPr>
          <w:sz w:val="24"/>
          <w:szCs w:val="24"/>
        </w:rPr>
        <w:t xml:space="preserve">whether </w:t>
      </w:r>
      <w:r w:rsidR="007E0A9B" w:rsidRPr="00AA57F5">
        <w:rPr>
          <w:sz w:val="24"/>
          <w:szCs w:val="24"/>
        </w:rPr>
        <w:t>an expert</w:t>
      </w:r>
      <w:r w:rsidR="003025DC" w:rsidRPr="00AA57F5">
        <w:rPr>
          <w:sz w:val="24"/>
          <w:szCs w:val="24"/>
        </w:rPr>
        <w:t xml:space="preserve"> </w:t>
      </w:r>
      <w:r w:rsidR="00F26DEC" w:rsidRPr="00AA57F5">
        <w:rPr>
          <w:sz w:val="24"/>
          <w:szCs w:val="24"/>
        </w:rPr>
        <w:t>in addition to stating</w:t>
      </w:r>
      <w:r w:rsidR="0063602C" w:rsidRPr="00AA57F5">
        <w:rPr>
          <w:sz w:val="24"/>
          <w:szCs w:val="24"/>
        </w:rPr>
        <w:t xml:space="preserve"> an opinion </w:t>
      </w:r>
      <w:r w:rsidR="00A46A87" w:rsidRPr="00AA57F5">
        <w:rPr>
          <w:sz w:val="24"/>
          <w:szCs w:val="24"/>
        </w:rPr>
        <w:t xml:space="preserve">may, subject to the Confrontation Clause, </w:t>
      </w:r>
      <w:r w:rsidR="007534A9" w:rsidRPr="00AA57F5">
        <w:rPr>
          <w:sz w:val="24"/>
          <w:szCs w:val="24"/>
        </w:rPr>
        <w:t xml:space="preserve">detail </w:t>
      </w:r>
      <w:r w:rsidR="00C001A0" w:rsidRPr="00AA57F5">
        <w:rPr>
          <w:sz w:val="24"/>
          <w:szCs w:val="24"/>
        </w:rPr>
        <w:t>the hearsay information upon which the opinion is based:</w:t>
      </w:r>
    </w:p>
    <w:p w14:paraId="4B828C80" w14:textId="2E339605" w:rsidR="00060B71" w:rsidRPr="00E71453" w:rsidRDefault="007E3BBC" w:rsidP="00120A07">
      <w:pPr>
        <w:spacing w:before="332"/>
        <w:ind w:left="720" w:right="720"/>
        <w:jc w:val="both"/>
        <w:textAlignment w:val="baseline"/>
        <w:rPr>
          <w:rFonts w:eastAsia="Times New Roman"/>
          <w:sz w:val="24"/>
          <w:szCs w:val="24"/>
        </w:rPr>
      </w:pPr>
      <w:r w:rsidRPr="00E71453">
        <w:rPr>
          <w:rFonts w:eastAsia="Times New Roman"/>
          <w:sz w:val="24"/>
          <w:szCs w:val="24"/>
        </w:rPr>
        <w:t>“</w:t>
      </w:r>
      <w:r w:rsidR="00060B71" w:rsidRPr="00E71453">
        <w:rPr>
          <w:rFonts w:eastAsia="Times New Roman"/>
          <w:sz w:val="24"/>
          <w:szCs w:val="24"/>
        </w:rPr>
        <w:t>We have held</w:t>
      </w:r>
      <w:r w:rsidR="003631D8" w:rsidRPr="00E71453">
        <w:rPr>
          <w:rFonts w:eastAsia="Times New Roman"/>
          <w:sz w:val="24"/>
          <w:szCs w:val="24"/>
        </w:rPr>
        <w:t xml:space="preserve"> in </w:t>
      </w:r>
      <w:r w:rsidR="00C813FB" w:rsidRPr="00E71453">
        <w:rPr>
          <w:rFonts w:eastAsia="Times New Roman"/>
          <w:sz w:val="24"/>
          <w:szCs w:val="24"/>
        </w:rPr>
        <w:t xml:space="preserve">[this case] </w:t>
      </w:r>
      <w:r w:rsidR="00060B71" w:rsidRPr="00E71453">
        <w:rPr>
          <w:rFonts w:eastAsia="Times New Roman"/>
          <w:sz w:val="24"/>
          <w:szCs w:val="24"/>
        </w:rPr>
        <w:t>only that [</w:t>
      </w:r>
      <w:r w:rsidR="003B2A88" w:rsidRPr="00E71453">
        <w:rPr>
          <w:rFonts w:eastAsia="Times New Roman"/>
          <w:sz w:val="24"/>
          <w:szCs w:val="24"/>
        </w:rPr>
        <w:t xml:space="preserve">the </w:t>
      </w:r>
      <w:r w:rsidR="00060B71" w:rsidRPr="00E71453">
        <w:rPr>
          <w:rFonts w:eastAsia="Times New Roman"/>
          <w:sz w:val="24"/>
          <w:szCs w:val="24"/>
        </w:rPr>
        <w:t xml:space="preserve">expert’s] </w:t>
      </w:r>
      <w:r w:rsidR="00060B71" w:rsidRPr="00E71453">
        <w:rPr>
          <w:rFonts w:eastAsia="Times New Roman"/>
          <w:i/>
          <w:sz w:val="24"/>
          <w:szCs w:val="24"/>
        </w:rPr>
        <w:t>opinion</w:t>
      </w:r>
      <w:r w:rsidR="00060B71" w:rsidRPr="00E71453">
        <w:rPr>
          <w:rFonts w:eastAsia="Times New Roman"/>
          <w:sz w:val="24"/>
          <w:szCs w:val="24"/>
        </w:rPr>
        <w:t>, although based in part on statements made out of court, was admissible because those statements met the test of acceptance in the profession.</w:t>
      </w:r>
      <w:r w:rsidR="003B2A88" w:rsidRPr="00E71453">
        <w:rPr>
          <w:rFonts w:eastAsia="Times New Roman"/>
          <w:sz w:val="24"/>
          <w:szCs w:val="24"/>
        </w:rPr>
        <w:t xml:space="preserve"> </w:t>
      </w:r>
      <w:r w:rsidR="00060B71" w:rsidRPr="00E71453">
        <w:rPr>
          <w:rFonts w:eastAsia="Times New Roman"/>
          <w:sz w:val="24"/>
          <w:szCs w:val="24"/>
        </w:rPr>
        <w:t>Both parties seem to assume that, if that test was met, [</w:t>
      </w:r>
      <w:r w:rsidR="00FB3BD4" w:rsidRPr="00E71453">
        <w:rPr>
          <w:rFonts w:eastAsia="Times New Roman"/>
          <w:sz w:val="24"/>
          <w:szCs w:val="24"/>
        </w:rPr>
        <w:t xml:space="preserve">the </w:t>
      </w:r>
      <w:r w:rsidR="00060B71" w:rsidRPr="00E71453">
        <w:rPr>
          <w:rFonts w:eastAsia="Times New Roman"/>
          <w:sz w:val="24"/>
          <w:szCs w:val="24"/>
        </w:rPr>
        <w:t>expert] was free, subject to defendant</w:t>
      </w:r>
      <w:r w:rsidR="00D80CA3" w:rsidRPr="00E71453">
        <w:rPr>
          <w:rFonts w:eastAsia="Times New Roman"/>
          <w:sz w:val="24"/>
          <w:szCs w:val="24"/>
        </w:rPr>
        <w:t>’</w:t>
      </w:r>
      <w:r w:rsidR="00060B71" w:rsidRPr="00E71453">
        <w:rPr>
          <w:rFonts w:eastAsia="Times New Roman"/>
          <w:sz w:val="24"/>
          <w:szCs w:val="24"/>
        </w:rPr>
        <w:t xml:space="preserve">s constitutional right of </w:t>
      </w:r>
      <w:r w:rsidR="00060B71" w:rsidRPr="00E71453">
        <w:rPr>
          <w:rFonts w:eastAsia="Times New Roman"/>
          <w:sz w:val="24"/>
          <w:szCs w:val="24"/>
        </w:rPr>
        <w:lastRenderedPageBreak/>
        <w:t>confrontation, not only to express her opinion but to repeat to the jury all the hearsay information on which it was based.</w:t>
      </w:r>
      <w:r w:rsidR="003B2A88" w:rsidRPr="00E71453">
        <w:rPr>
          <w:rFonts w:eastAsia="Times New Roman"/>
          <w:sz w:val="24"/>
          <w:szCs w:val="24"/>
        </w:rPr>
        <w:t xml:space="preserve"> </w:t>
      </w:r>
      <w:r w:rsidR="00060B71" w:rsidRPr="00E71453">
        <w:rPr>
          <w:rFonts w:eastAsia="Times New Roman"/>
          <w:sz w:val="24"/>
          <w:szCs w:val="24"/>
        </w:rPr>
        <w:t>That is a questionable assumption.</w:t>
      </w:r>
    </w:p>
    <w:p w14:paraId="6A54F20C" w14:textId="4B0034EE" w:rsidR="00060B71" w:rsidRPr="00E71453" w:rsidRDefault="009553AD" w:rsidP="00120A07">
      <w:pPr>
        <w:spacing w:before="344"/>
        <w:ind w:left="720" w:right="720"/>
        <w:jc w:val="both"/>
        <w:textAlignment w:val="baseline"/>
        <w:rPr>
          <w:rFonts w:eastAsia="Times New Roman"/>
          <w:i/>
          <w:sz w:val="24"/>
          <w:szCs w:val="24"/>
        </w:rPr>
      </w:pPr>
      <w:r w:rsidRPr="00E71453">
        <w:rPr>
          <w:rFonts w:eastAsia="Times New Roman"/>
          <w:iCs/>
          <w:sz w:val="24"/>
          <w:szCs w:val="24"/>
        </w:rPr>
        <w:t>“</w:t>
      </w:r>
      <w:r w:rsidR="00060B71" w:rsidRPr="00E71453">
        <w:rPr>
          <w:rFonts w:eastAsia="Times New Roman"/>
          <w:i/>
          <w:sz w:val="24"/>
          <w:szCs w:val="24"/>
        </w:rPr>
        <w:t xml:space="preserve">Stone </w:t>
      </w:r>
      <w:r w:rsidR="00060B71" w:rsidRPr="00E71453">
        <w:rPr>
          <w:rFonts w:eastAsia="Times New Roman"/>
          <w:sz w:val="24"/>
          <w:szCs w:val="24"/>
        </w:rPr>
        <w:t xml:space="preserve">and </w:t>
      </w:r>
      <w:r w:rsidR="00060B71" w:rsidRPr="00E71453">
        <w:rPr>
          <w:rFonts w:eastAsia="Times New Roman"/>
          <w:i/>
          <w:sz w:val="24"/>
          <w:szCs w:val="24"/>
        </w:rPr>
        <w:t xml:space="preserve">Sugden </w:t>
      </w:r>
      <w:r w:rsidR="00060B71" w:rsidRPr="00E71453">
        <w:rPr>
          <w:rFonts w:eastAsia="Times New Roman"/>
          <w:sz w:val="24"/>
          <w:szCs w:val="24"/>
        </w:rPr>
        <w:t>were concerned with the admissibility of a psychiatrist</w:t>
      </w:r>
      <w:r w:rsidR="00D80CA3" w:rsidRPr="00E71453">
        <w:rPr>
          <w:rFonts w:eastAsia="Times New Roman"/>
          <w:sz w:val="24"/>
          <w:szCs w:val="24"/>
        </w:rPr>
        <w:t>’</w:t>
      </w:r>
      <w:r w:rsidR="00060B71" w:rsidRPr="00E71453">
        <w:rPr>
          <w:rFonts w:eastAsia="Times New Roman"/>
          <w:sz w:val="24"/>
          <w:szCs w:val="24"/>
        </w:rPr>
        <w:t>s opinion, not the facts underlying it.</w:t>
      </w:r>
      <w:r w:rsidR="003B2A88" w:rsidRPr="00E71453">
        <w:rPr>
          <w:rFonts w:eastAsia="Times New Roman"/>
          <w:sz w:val="24"/>
          <w:szCs w:val="24"/>
        </w:rPr>
        <w:t xml:space="preserve"> </w:t>
      </w:r>
      <w:r w:rsidR="00060B71" w:rsidRPr="00E71453">
        <w:rPr>
          <w:rFonts w:eastAsia="Times New Roman"/>
          <w:sz w:val="24"/>
          <w:szCs w:val="24"/>
        </w:rPr>
        <w:t>There is no indication in either case that the prosecution sought to elicit from the psychiatrist the content of the hearsay statements he relied on.</w:t>
      </w:r>
      <w:r w:rsidR="003B2A88" w:rsidRPr="00E71453">
        <w:rPr>
          <w:rFonts w:eastAsia="Times New Roman"/>
          <w:sz w:val="24"/>
          <w:szCs w:val="24"/>
        </w:rPr>
        <w:t xml:space="preserve"> </w:t>
      </w:r>
      <w:r w:rsidR="00060B71" w:rsidRPr="00E71453">
        <w:rPr>
          <w:rFonts w:eastAsia="Times New Roman"/>
          <w:sz w:val="24"/>
          <w:szCs w:val="24"/>
        </w:rPr>
        <w:t>And it can be argued that there should be at least some limit on the right of the proponent of an expert</w:t>
      </w:r>
      <w:r w:rsidR="00D80CA3" w:rsidRPr="00E71453">
        <w:rPr>
          <w:rFonts w:eastAsia="Times New Roman"/>
          <w:sz w:val="24"/>
          <w:szCs w:val="24"/>
        </w:rPr>
        <w:t>’</w:t>
      </w:r>
      <w:r w:rsidR="00060B71" w:rsidRPr="00E71453">
        <w:rPr>
          <w:rFonts w:eastAsia="Times New Roman"/>
          <w:sz w:val="24"/>
          <w:szCs w:val="24"/>
        </w:rPr>
        <w:t>s opinion to put before the factfinder all the information, not otherwise admissible, on which the opinion is based.</w:t>
      </w:r>
      <w:r w:rsidR="003B2A88" w:rsidRPr="00E71453">
        <w:rPr>
          <w:rFonts w:eastAsia="Times New Roman"/>
          <w:sz w:val="24"/>
          <w:szCs w:val="24"/>
        </w:rPr>
        <w:t xml:space="preserve"> </w:t>
      </w:r>
      <w:r w:rsidR="00060B71" w:rsidRPr="00E71453">
        <w:rPr>
          <w:rFonts w:eastAsia="Times New Roman"/>
          <w:sz w:val="24"/>
          <w:szCs w:val="24"/>
        </w:rPr>
        <w:t>Otherwise, a party might effectively nullify the hearsay rule by making that party</w:t>
      </w:r>
      <w:r w:rsidR="00D80CA3" w:rsidRPr="00E71453">
        <w:rPr>
          <w:rFonts w:eastAsia="Times New Roman"/>
          <w:sz w:val="24"/>
          <w:szCs w:val="24"/>
        </w:rPr>
        <w:t>’</w:t>
      </w:r>
      <w:r w:rsidR="00060B71" w:rsidRPr="00E71453">
        <w:rPr>
          <w:rFonts w:eastAsia="Times New Roman"/>
          <w:sz w:val="24"/>
          <w:szCs w:val="24"/>
        </w:rPr>
        <w:t xml:space="preserve">s expert a </w:t>
      </w:r>
      <w:r w:rsidR="003B2A88" w:rsidRPr="00E71453">
        <w:rPr>
          <w:rFonts w:eastAsia="Times New Roman"/>
          <w:sz w:val="24"/>
          <w:szCs w:val="24"/>
        </w:rPr>
        <w:t>‘</w:t>
      </w:r>
      <w:r w:rsidR="00060B71" w:rsidRPr="00E71453">
        <w:rPr>
          <w:rFonts w:eastAsia="Times New Roman"/>
          <w:sz w:val="24"/>
          <w:szCs w:val="24"/>
        </w:rPr>
        <w:t>conduit for hearsay</w:t>
      </w:r>
      <w:r w:rsidR="003B2A88" w:rsidRPr="00E71453">
        <w:rPr>
          <w:rFonts w:eastAsia="Times New Roman"/>
          <w:sz w:val="24"/>
          <w:szCs w:val="24"/>
        </w:rPr>
        <w:t>’</w:t>
      </w:r>
      <w:r w:rsidR="00060B71" w:rsidRPr="00E71453">
        <w:rPr>
          <w:rFonts w:eastAsia="Times New Roman"/>
          <w:sz w:val="24"/>
          <w:szCs w:val="24"/>
        </w:rPr>
        <w:t xml:space="preserve"> (</w:t>
      </w:r>
      <w:hyperlink r:id="rId8" w:anchor="co_pp_sp_350_725">
        <w:r w:rsidR="00060B71" w:rsidRPr="00E71453">
          <w:rPr>
            <w:rFonts w:eastAsia="Times New Roman"/>
            <w:i/>
            <w:sz w:val="24"/>
            <w:szCs w:val="24"/>
          </w:rPr>
          <w:t>Hutchinson v Groskin</w:t>
        </w:r>
      </w:hyperlink>
      <w:hyperlink r:id="rId9" w:anchor="co_pp_sp_350_725">
        <w:r w:rsidR="00060B71" w:rsidRPr="00E71453">
          <w:rPr>
            <w:rFonts w:eastAsia="Times New Roman"/>
            <w:sz w:val="24"/>
            <w:szCs w:val="24"/>
          </w:rPr>
          <w:t>, 927 F2d 722, 725</w:t>
        </w:r>
      </w:hyperlink>
      <w:r w:rsidR="00060B71" w:rsidRPr="00E71453">
        <w:rPr>
          <w:rFonts w:eastAsia="Times New Roman"/>
          <w:sz w:val="24"/>
          <w:szCs w:val="24"/>
        </w:rPr>
        <w:t xml:space="preserve"> [2d Cir 1991]).</w:t>
      </w:r>
    </w:p>
    <w:p w14:paraId="486C41A4" w14:textId="42ED8256" w:rsidR="005B1D27" w:rsidRPr="00E71453" w:rsidRDefault="003B2A88" w:rsidP="00120A07">
      <w:pPr>
        <w:spacing w:before="360"/>
        <w:ind w:left="720" w:right="720"/>
        <w:jc w:val="both"/>
        <w:textAlignment w:val="baseline"/>
        <w:rPr>
          <w:rFonts w:eastAsia="Times New Roman"/>
          <w:sz w:val="24"/>
          <w:szCs w:val="24"/>
        </w:rPr>
      </w:pPr>
      <w:r w:rsidRPr="00E71453">
        <w:rPr>
          <w:rFonts w:eastAsia="Times New Roman"/>
          <w:sz w:val="24"/>
          <w:szCs w:val="24"/>
        </w:rPr>
        <w:t>“</w:t>
      </w:r>
      <w:r w:rsidR="00060B71" w:rsidRPr="00E71453">
        <w:rPr>
          <w:rFonts w:eastAsia="Times New Roman"/>
          <w:sz w:val="24"/>
          <w:szCs w:val="24"/>
        </w:rPr>
        <w:t>The distinction between the admissibility of an expert</w:t>
      </w:r>
      <w:r w:rsidR="00D80CA3" w:rsidRPr="00E71453">
        <w:rPr>
          <w:rFonts w:eastAsia="Times New Roman"/>
          <w:sz w:val="24"/>
          <w:szCs w:val="24"/>
        </w:rPr>
        <w:t>’</w:t>
      </w:r>
      <w:r w:rsidR="00060B71" w:rsidRPr="00E71453">
        <w:rPr>
          <w:rFonts w:eastAsia="Times New Roman"/>
          <w:sz w:val="24"/>
          <w:szCs w:val="24"/>
        </w:rPr>
        <w:t>s opinion and the admissibility of the information underlying it, when offered by the proponent, has received surprisingly little attention in this state</w:t>
      </w:r>
      <w:r w:rsidR="006E71B4" w:rsidRPr="00E71453">
        <w:rPr>
          <w:rFonts w:eastAsia="Times New Roman"/>
          <w:sz w:val="24"/>
          <w:szCs w:val="24"/>
        </w:rPr>
        <w:t xml:space="preserve"> . . .</w:t>
      </w:r>
      <w:r w:rsidRPr="00E71453">
        <w:rPr>
          <w:rFonts w:eastAsia="Times New Roman"/>
          <w:sz w:val="24"/>
          <w:szCs w:val="24"/>
        </w:rPr>
        <w:t xml:space="preserve"> </w:t>
      </w:r>
      <w:r w:rsidR="00060B71" w:rsidRPr="00E71453">
        <w:rPr>
          <w:rFonts w:eastAsia="Times New Roman"/>
          <w:sz w:val="24"/>
          <w:szCs w:val="24"/>
        </w:rPr>
        <w:t>.</w:t>
      </w:r>
      <w:r w:rsidRPr="00E71453">
        <w:rPr>
          <w:rFonts w:eastAsia="Times New Roman"/>
          <w:sz w:val="24"/>
          <w:szCs w:val="24"/>
        </w:rPr>
        <w:t xml:space="preserve"> W</w:t>
      </w:r>
      <w:r w:rsidR="00060B71" w:rsidRPr="00E71453">
        <w:rPr>
          <w:rFonts w:eastAsia="Times New Roman"/>
          <w:sz w:val="24"/>
          <w:szCs w:val="24"/>
        </w:rPr>
        <w:t>e have found no New York case addressing the question of when a party offering a psychiatrist</w:t>
      </w:r>
      <w:r w:rsidR="00D80CA3" w:rsidRPr="00E71453">
        <w:rPr>
          <w:rFonts w:eastAsia="Times New Roman"/>
          <w:sz w:val="24"/>
          <w:szCs w:val="24"/>
        </w:rPr>
        <w:t>’</w:t>
      </w:r>
      <w:r w:rsidR="00060B71" w:rsidRPr="00E71453">
        <w:rPr>
          <w:rFonts w:eastAsia="Times New Roman"/>
          <w:sz w:val="24"/>
          <w:szCs w:val="24"/>
        </w:rPr>
        <w:t xml:space="preserve">s opinion pursuant to </w:t>
      </w:r>
      <w:r w:rsidR="00060B71" w:rsidRPr="00E71453">
        <w:rPr>
          <w:rFonts w:eastAsia="Times New Roman"/>
          <w:i/>
          <w:sz w:val="24"/>
          <w:szCs w:val="24"/>
        </w:rPr>
        <w:t xml:space="preserve">Stone </w:t>
      </w:r>
      <w:r w:rsidR="00060B71" w:rsidRPr="00E71453">
        <w:rPr>
          <w:rFonts w:eastAsia="Times New Roman"/>
          <w:sz w:val="24"/>
          <w:szCs w:val="24"/>
        </w:rPr>
        <w:t xml:space="preserve">and </w:t>
      </w:r>
      <w:r w:rsidR="00060B71" w:rsidRPr="00E71453">
        <w:rPr>
          <w:rFonts w:eastAsia="Times New Roman"/>
          <w:i/>
          <w:sz w:val="24"/>
          <w:szCs w:val="24"/>
        </w:rPr>
        <w:t xml:space="preserve">Sugden </w:t>
      </w:r>
      <w:r w:rsidR="00060B71" w:rsidRPr="00E71453">
        <w:rPr>
          <w:rFonts w:eastAsia="Times New Roman"/>
          <w:sz w:val="24"/>
          <w:szCs w:val="24"/>
        </w:rPr>
        <w:t>may present, through the expert, otherwise inadmissible information on which the expert relied.</w:t>
      </w:r>
      <w:r w:rsidRPr="00E71453">
        <w:rPr>
          <w:rFonts w:eastAsia="Times New Roman"/>
          <w:sz w:val="24"/>
          <w:szCs w:val="24"/>
        </w:rPr>
        <w:t xml:space="preserve"> </w:t>
      </w:r>
      <w:r w:rsidR="00060B71" w:rsidRPr="00E71453">
        <w:rPr>
          <w:rFonts w:eastAsia="Times New Roman"/>
          <w:sz w:val="24"/>
          <w:szCs w:val="24"/>
        </w:rPr>
        <w:t>The issue of when a proponent may present inadmissible facts underlying an admissible opinion has, however, been discussed by courts in other jurisdictions, and in many law review articles (</w:t>
      </w:r>
      <w:r w:rsidR="00060B71" w:rsidRPr="00E71453">
        <w:rPr>
          <w:rFonts w:eastAsia="Times New Roman"/>
          <w:i/>
          <w:sz w:val="24"/>
          <w:szCs w:val="24"/>
        </w:rPr>
        <w:t xml:space="preserve">see </w:t>
      </w:r>
      <w:r w:rsidR="00060B71" w:rsidRPr="00E71453">
        <w:rPr>
          <w:rFonts w:eastAsia="Times New Roman"/>
          <w:sz w:val="24"/>
          <w:szCs w:val="24"/>
        </w:rPr>
        <w:t xml:space="preserve">authorities cited in Kaye et al., The New Wigmore: Expert Evidence § 3.7 [2004]). And in 2000, </w:t>
      </w:r>
      <w:hyperlink r:id="rId10">
        <w:r w:rsidR="00060B71" w:rsidRPr="00E71453">
          <w:rPr>
            <w:rFonts w:eastAsia="Times New Roman"/>
            <w:sz w:val="24"/>
            <w:szCs w:val="24"/>
          </w:rPr>
          <w:t>rule 703 of the Federal Rules of Evidence</w:t>
        </w:r>
      </w:hyperlink>
      <w:r w:rsidR="00060B71" w:rsidRPr="00E71453">
        <w:rPr>
          <w:rFonts w:eastAsia="Times New Roman"/>
          <w:sz w:val="24"/>
          <w:szCs w:val="24"/>
        </w:rPr>
        <w:t xml:space="preserve"> (</w:t>
      </w:r>
      <w:r w:rsidRPr="00E71453">
        <w:rPr>
          <w:rFonts w:eastAsia="Times New Roman"/>
          <w:sz w:val="24"/>
          <w:szCs w:val="24"/>
        </w:rPr>
        <w:t>‘</w:t>
      </w:r>
      <w:r w:rsidR="00060B71" w:rsidRPr="00E71453">
        <w:rPr>
          <w:rFonts w:eastAsia="Times New Roman"/>
          <w:sz w:val="24"/>
          <w:szCs w:val="24"/>
        </w:rPr>
        <w:t>Bases of Opinion Testimony by Experts</w:t>
      </w:r>
      <w:r w:rsidRPr="00E71453">
        <w:rPr>
          <w:rFonts w:eastAsia="Times New Roman"/>
          <w:sz w:val="24"/>
          <w:szCs w:val="24"/>
        </w:rPr>
        <w:t>’</w:t>
      </w:r>
      <w:r w:rsidR="00060B71" w:rsidRPr="00E71453">
        <w:rPr>
          <w:rFonts w:eastAsia="Times New Roman"/>
          <w:sz w:val="24"/>
          <w:szCs w:val="24"/>
        </w:rPr>
        <w:t>) was amended to deal with this issue.</w:t>
      </w:r>
      <w:r w:rsidRPr="00E71453">
        <w:rPr>
          <w:rFonts w:eastAsia="Times New Roman"/>
          <w:sz w:val="24"/>
          <w:szCs w:val="24"/>
        </w:rPr>
        <w:t xml:space="preserve"> </w:t>
      </w:r>
      <w:r w:rsidR="00060B71" w:rsidRPr="00E71453">
        <w:rPr>
          <w:rFonts w:eastAsia="Times New Roman"/>
          <w:sz w:val="24"/>
          <w:szCs w:val="24"/>
        </w:rPr>
        <w:t xml:space="preserve">The last sentence of the rule now provides: </w:t>
      </w:r>
      <w:r w:rsidR="004B7E71" w:rsidRPr="00E71453">
        <w:rPr>
          <w:rFonts w:eastAsia="Times New Roman"/>
          <w:sz w:val="24"/>
          <w:szCs w:val="24"/>
        </w:rPr>
        <w:t>‘</w:t>
      </w:r>
      <w:r w:rsidR="00060B71" w:rsidRPr="00E71453">
        <w:rPr>
          <w:rFonts w:eastAsia="Times New Roman"/>
          <w:sz w:val="24"/>
          <w:szCs w:val="24"/>
        </w:rPr>
        <w:t>Facts or data that are otherwise inadmissible shall not be disclosed to the jury by the proponent of the opinion or inference unless the court determines that their probative value in assisting the jury to evaluate the expert</w:t>
      </w:r>
      <w:r w:rsidR="00D80CA3" w:rsidRPr="00E71453">
        <w:rPr>
          <w:rFonts w:eastAsia="Times New Roman"/>
          <w:sz w:val="24"/>
          <w:szCs w:val="24"/>
        </w:rPr>
        <w:t>’</w:t>
      </w:r>
      <w:r w:rsidR="00060B71" w:rsidRPr="00E71453">
        <w:rPr>
          <w:rFonts w:eastAsia="Times New Roman"/>
          <w:sz w:val="24"/>
          <w:szCs w:val="24"/>
        </w:rPr>
        <w:t>s opinion substantially outweighs their prejudicial effect.</w:t>
      </w:r>
      <w:r w:rsidR="004B7E71" w:rsidRPr="00E71453">
        <w:rPr>
          <w:rFonts w:eastAsia="Times New Roman"/>
          <w:sz w:val="24"/>
          <w:szCs w:val="24"/>
        </w:rPr>
        <w:t>’</w:t>
      </w:r>
      <w:r w:rsidR="00060B71" w:rsidRPr="00E71453">
        <w:rPr>
          <w:rFonts w:eastAsia="Times New Roman"/>
          <w:sz w:val="24"/>
          <w:szCs w:val="24"/>
        </w:rPr>
        <w:t xml:space="preserve"> We are not called upon to decide here, and do not decide, whether the New York rule is the same as, or less or more restrictive than, this federal rule</w:t>
      </w:r>
      <w:r w:rsidRPr="00E71453">
        <w:rPr>
          <w:rFonts w:eastAsia="Times New Roman"/>
          <w:sz w:val="24"/>
          <w:szCs w:val="24"/>
        </w:rPr>
        <w:t>” (</w:t>
      </w:r>
      <w:r w:rsidR="004B7E71" w:rsidRPr="00E71453">
        <w:rPr>
          <w:rFonts w:eastAsia="Times New Roman"/>
          <w:i/>
          <w:iCs/>
          <w:sz w:val="24"/>
          <w:szCs w:val="24"/>
        </w:rPr>
        <w:t>Goldstein</w:t>
      </w:r>
      <w:r w:rsidR="004B7E71" w:rsidRPr="00E71453">
        <w:rPr>
          <w:rFonts w:eastAsia="Times New Roman"/>
          <w:sz w:val="24"/>
          <w:szCs w:val="24"/>
        </w:rPr>
        <w:t xml:space="preserve"> at 126-127</w:t>
      </w:r>
      <w:r w:rsidRPr="00E71453">
        <w:rPr>
          <w:rFonts w:eastAsia="Times New Roman"/>
          <w:sz w:val="24"/>
          <w:szCs w:val="24"/>
        </w:rPr>
        <w:t xml:space="preserve">; </w:t>
      </w:r>
      <w:r w:rsidRPr="00E71453">
        <w:rPr>
          <w:i/>
          <w:iCs/>
          <w:sz w:val="24"/>
          <w:szCs w:val="24"/>
        </w:rPr>
        <w:t>se</w:t>
      </w:r>
      <w:r w:rsidR="005B1D27" w:rsidRPr="00E71453">
        <w:rPr>
          <w:i/>
          <w:iCs/>
          <w:sz w:val="24"/>
          <w:szCs w:val="24"/>
        </w:rPr>
        <w:t xml:space="preserve">e </w:t>
      </w:r>
      <w:r w:rsidR="005B1D27" w:rsidRPr="00E71453">
        <w:rPr>
          <w:i/>
          <w:iCs/>
          <w:sz w:val="24"/>
          <w:szCs w:val="24"/>
          <w:bdr w:val="none" w:sz="0" w:space="0" w:color="auto" w:frame="1"/>
        </w:rPr>
        <w:t>Hinlicky v Dreyfuss</w:t>
      </w:r>
      <w:r w:rsidR="005B1D27" w:rsidRPr="00E71453">
        <w:rPr>
          <w:sz w:val="24"/>
          <w:szCs w:val="24"/>
        </w:rPr>
        <w:t>, 6 NY3d 636, 6</w:t>
      </w:r>
      <w:r w:rsidRPr="00E71453">
        <w:rPr>
          <w:sz w:val="24"/>
          <w:szCs w:val="24"/>
        </w:rPr>
        <w:t>48</w:t>
      </w:r>
      <w:r w:rsidR="005B1D27" w:rsidRPr="00E71453">
        <w:rPr>
          <w:sz w:val="24"/>
          <w:szCs w:val="24"/>
        </w:rPr>
        <w:t xml:space="preserve"> [2006] [</w:t>
      </w:r>
      <w:r w:rsidR="00F960AF" w:rsidRPr="00E71453">
        <w:rPr>
          <w:rFonts w:eastAsia="Times New Roman"/>
          <w:sz w:val="24"/>
          <w:szCs w:val="24"/>
          <w:shd w:val="clear" w:color="auto" w:fill="FFFFFF"/>
        </w:rPr>
        <w:t>“</w:t>
      </w:r>
      <w:r w:rsidR="005B1D27" w:rsidRPr="00E71453">
        <w:rPr>
          <w:rFonts w:eastAsia="Times New Roman"/>
          <w:sz w:val="24"/>
          <w:szCs w:val="24"/>
          <w:shd w:val="clear" w:color="auto" w:fill="FFFFFF"/>
        </w:rPr>
        <w:t>We note only that whether evidence may become admissible solely because of its use as a basis for expert testimony remains an open question in New York (</w:t>
      </w:r>
      <w:r w:rsidR="005B1D27" w:rsidRPr="00E71453">
        <w:rPr>
          <w:rFonts w:eastAsia="Times New Roman"/>
          <w:i/>
          <w:iCs/>
          <w:sz w:val="24"/>
          <w:szCs w:val="24"/>
          <w:shd w:val="clear" w:color="auto" w:fill="FFFFFF"/>
        </w:rPr>
        <w:t xml:space="preserve">see </w:t>
      </w:r>
      <w:hyperlink r:id="rId11" w:history="1">
        <w:r w:rsidR="005B1D27" w:rsidRPr="00E71453">
          <w:rPr>
            <w:rStyle w:val="Hyperlink"/>
            <w:rFonts w:eastAsia="Times New Roman"/>
            <w:i/>
            <w:iCs/>
            <w:color w:val="auto"/>
            <w:sz w:val="24"/>
            <w:szCs w:val="24"/>
            <w:u w:val="none"/>
            <w:shd w:val="clear" w:color="auto" w:fill="FFFFFF"/>
          </w:rPr>
          <w:t>People v Goldstein</w:t>
        </w:r>
        <w:r w:rsidR="005B1D27" w:rsidRPr="00E71453">
          <w:rPr>
            <w:rStyle w:val="Hyperlink"/>
            <w:rFonts w:eastAsia="Times New Roman"/>
            <w:color w:val="auto"/>
            <w:sz w:val="24"/>
            <w:szCs w:val="24"/>
            <w:u w:val="none"/>
            <w:shd w:val="clear" w:color="auto" w:fill="FFFFFF"/>
          </w:rPr>
          <w:t>,</w:t>
        </w:r>
      </w:hyperlink>
      <w:hyperlink r:id="rId12" w:history="1">
        <w:r w:rsidR="005B1D27" w:rsidRPr="00E71453">
          <w:rPr>
            <w:rStyle w:val="Hyperlink"/>
            <w:rFonts w:eastAsia="Times New Roman"/>
            <w:color w:val="auto"/>
            <w:sz w:val="24"/>
            <w:szCs w:val="24"/>
            <w:u w:val="none"/>
            <w:shd w:val="clear" w:color="auto" w:fill="FFFFFF"/>
          </w:rPr>
          <w:t> 6 NY3d 119, 126</w:t>
        </w:r>
        <w:r w:rsidRPr="00E71453">
          <w:rPr>
            <w:rStyle w:val="Hyperlink"/>
            <w:rFonts w:eastAsia="Times New Roman"/>
            <w:color w:val="auto"/>
            <w:sz w:val="24"/>
            <w:szCs w:val="24"/>
            <w:u w:val="none"/>
            <w:shd w:val="clear" w:color="auto" w:fill="FFFFFF"/>
          </w:rPr>
          <w:t>-</w:t>
        </w:r>
        <w:r w:rsidR="005B1D27" w:rsidRPr="00E71453">
          <w:rPr>
            <w:rStyle w:val="Hyperlink"/>
            <w:rFonts w:eastAsia="Times New Roman"/>
            <w:color w:val="auto"/>
            <w:sz w:val="24"/>
            <w:szCs w:val="24"/>
            <w:u w:val="none"/>
            <w:shd w:val="clear" w:color="auto" w:fill="FFFFFF"/>
          </w:rPr>
          <w:t>127</w:t>
        </w:r>
        <w:r w:rsidRPr="00E71453">
          <w:rPr>
            <w:rStyle w:val="Hyperlink"/>
            <w:rFonts w:eastAsia="Times New Roman"/>
            <w:color w:val="auto"/>
            <w:sz w:val="24"/>
            <w:szCs w:val="24"/>
            <w:u w:val="none"/>
            <w:shd w:val="clear" w:color="auto" w:fill="FFFFFF"/>
          </w:rPr>
          <w:t xml:space="preserve"> </w:t>
        </w:r>
        <w:r w:rsidR="005B1D27" w:rsidRPr="00E71453">
          <w:rPr>
            <w:rStyle w:val="Hyperlink"/>
            <w:rFonts w:eastAsia="Times New Roman"/>
            <w:color w:val="auto"/>
            <w:sz w:val="24"/>
            <w:szCs w:val="24"/>
            <w:u w:val="none"/>
            <w:shd w:val="clear" w:color="auto" w:fill="FFFFFF"/>
          </w:rPr>
          <w:t>[2005]</w:t>
        </w:r>
      </w:hyperlink>
      <w:r w:rsidR="005B1D27" w:rsidRPr="00E71453">
        <w:rPr>
          <w:rFonts w:eastAsia="Times New Roman"/>
          <w:sz w:val="24"/>
          <w:szCs w:val="24"/>
          <w:shd w:val="clear" w:color="auto" w:fill="FFFFFF"/>
        </w:rPr>
        <w:t xml:space="preserve"> [concerning out-of-court </w:t>
      </w:r>
      <w:r w:rsidR="005B1D27" w:rsidRPr="00E71453">
        <w:rPr>
          <w:rFonts w:eastAsia="Times New Roman"/>
          <w:i/>
          <w:iCs/>
          <w:sz w:val="24"/>
          <w:szCs w:val="24"/>
          <w:shd w:val="clear" w:color="auto" w:fill="FFFFFF"/>
        </w:rPr>
        <w:t>factual</w:t>
      </w:r>
      <w:r w:rsidR="005B1D27" w:rsidRPr="00E71453">
        <w:rPr>
          <w:rFonts w:eastAsia="Times New Roman"/>
          <w:sz w:val="24"/>
          <w:szCs w:val="24"/>
          <w:shd w:val="clear" w:color="auto" w:fill="FFFFFF"/>
        </w:rPr>
        <w:t> statements]).</w:t>
      </w:r>
      <w:r w:rsidR="00DD45EC" w:rsidRPr="00E71453">
        <w:rPr>
          <w:rFonts w:eastAsia="Times New Roman"/>
          <w:sz w:val="24"/>
          <w:szCs w:val="24"/>
          <w:shd w:val="clear" w:color="auto" w:fill="FFFFFF"/>
        </w:rPr>
        <w:t xml:space="preserve"> </w:t>
      </w:r>
      <w:r w:rsidR="005B1D27" w:rsidRPr="00E71453">
        <w:rPr>
          <w:rFonts w:eastAsia="Times New Roman"/>
          <w:sz w:val="24"/>
          <w:szCs w:val="24"/>
          <w:shd w:val="clear" w:color="auto" w:fill="FFFFFF"/>
        </w:rPr>
        <w:t>While some jurisdictions allow otherwise inadmissible materials relied upon by an expert witness to reach the jury for nonhearsay purposes, we have acknowledged the need for limits on admitting the basis of an expert</w:t>
      </w:r>
      <w:r w:rsidR="00D80CA3" w:rsidRPr="00E71453">
        <w:rPr>
          <w:rFonts w:eastAsia="Times New Roman"/>
          <w:sz w:val="24"/>
          <w:szCs w:val="24"/>
          <w:shd w:val="clear" w:color="auto" w:fill="FFFFFF"/>
        </w:rPr>
        <w:t>’</w:t>
      </w:r>
      <w:r w:rsidR="005B1D27" w:rsidRPr="00E71453">
        <w:rPr>
          <w:rFonts w:eastAsia="Times New Roman"/>
          <w:sz w:val="24"/>
          <w:szCs w:val="24"/>
          <w:shd w:val="clear" w:color="auto" w:fill="FFFFFF"/>
        </w:rPr>
        <w:t xml:space="preserve">s opinion to avoid providing a </w:t>
      </w:r>
      <w:r w:rsidR="00DD45EC" w:rsidRPr="00E71453">
        <w:rPr>
          <w:rFonts w:eastAsia="Times New Roman"/>
          <w:sz w:val="24"/>
          <w:szCs w:val="24"/>
          <w:shd w:val="clear" w:color="auto" w:fill="FFFFFF"/>
        </w:rPr>
        <w:t>‘</w:t>
      </w:r>
      <w:r w:rsidR="005B1D27" w:rsidRPr="00E71453">
        <w:rPr>
          <w:rFonts w:eastAsia="Times New Roman"/>
          <w:sz w:val="24"/>
          <w:szCs w:val="24"/>
          <w:shd w:val="clear" w:color="auto" w:fill="FFFFFF"/>
        </w:rPr>
        <w:t>conduit for hearsay</w:t>
      </w:r>
      <w:r w:rsidR="00DD45EC" w:rsidRPr="00E71453">
        <w:rPr>
          <w:rFonts w:eastAsia="Times New Roman"/>
          <w:sz w:val="24"/>
          <w:szCs w:val="24"/>
          <w:shd w:val="clear" w:color="auto" w:fill="FFFFFF"/>
        </w:rPr>
        <w:t>’</w:t>
      </w:r>
      <w:r w:rsidR="005B1D27" w:rsidRPr="00E71453">
        <w:rPr>
          <w:rFonts w:eastAsia="Times New Roman"/>
          <w:sz w:val="24"/>
          <w:szCs w:val="24"/>
          <w:shd w:val="clear" w:color="auto" w:fill="FFFFFF"/>
        </w:rPr>
        <w:t xml:space="preserve"> </w:t>
      </w:r>
      <w:hyperlink r:id="rId13" w:history="1">
        <w:r w:rsidR="005B1D27" w:rsidRPr="00E71453">
          <w:rPr>
            <w:rStyle w:val="Hyperlink"/>
            <w:rFonts w:eastAsia="Times New Roman"/>
            <w:color w:val="auto"/>
            <w:sz w:val="24"/>
            <w:szCs w:val="24"/>
            <w:u w:val="none"/>
            <w:shd w:val="clear" w:color="auto" w:fill="FFFFFF"/>
          </w:rPr>
          <w:t>(</w:t>
        </w:r>
      </w:hyperlink>
      <w:hyperlink r:id="rId14" w:history="1">
        <w:r w:rsidR="005B1D27" w:rsidRPr="00E71453">
          <w:rPr>
            <w:rStyle w:val="Hyperlink"/>
            <w:rFonts w:eastAsia="Times New Roman"/>
            <w:i/>
            <w:iCs/>
            <w:color w:val="auto"/>
            <w:sz w:val="24"/>
            <w:szCs w:val="24"/>
            <w:u w:val="none"/>
            <w:shd w:val="clear" w:color="auto" w:fill="FFFFFF"/>
          </w:rPr>
          <w:t>id.</w:t>
        </w:r>
      </w:hyperlink>
      <w:hyperlink r:id="rId15" w:history="1">
        <w:r w:rsidR="005B1D27" w:rsidRPr="00E71453">
          <w:rPr>
            <w:rStyle w:val="Hyperlink"/>
            <w:rFonts w:eastAsia="Times New Roman"/>
            <w:color w:val="auto"/>
            <w:sz w:val="24"/>
            <w:szCs w:val="24"/>
            <w:u w:val="none"/>
            <w:shd w:val="clear" w:color="auto" w:fill="FFFFFF"/>
          </w:rPr>
          <w:t> at 126)</w:t>
        </w:r>
      </w:hyperlink>
      <w:r w:rsidR="00CE2AB9" w:rsidRPr="00E71453">
        <w:rPr>
          <w:rFonts w:eastAsia="Times New Roman"/>
          <w:sz w:val="24"/>
          <w:szCs w:val="24"/>
          <w:shd w:val="clear" w:color="auto" w:fill="FFFFFF"/>
        </w:rPr>
        <w:t>”]</w:t>
      </w:r>
      <w:r w:rsidR="00DD45EC" w:rsidRPr="00E71453">
        <w:rPr>
          <w:rFonts w:eastAsia="Times New Roman"/>
          <w:sz w:val="24"/>
          <w:szCs w:val="24"/>
          <w:shd w:val="clear" w:color="auto" w:fill="FFFFFF"/>
        </w:rPr>
        <w:t>)</w:t>
      </w:r>
      <w:r w:rsidR="00CE2AB9" w:rsidRPr="00E71453">
        <w:rPr>
          <w:rFonts w:eastAsia="Times New Roman"/>
          <w:sz w:val="24"/>
          <w:szCs w:val="24"/>
          <w:shd w:val="clear" w:color="auto" w:fill="FFFFFF"/>
        </w:rPr>
        <w:t>.</w:t>
      </w:r>
    </w:p>
    <w:p w14:paraId="1D25DC2F" w14:textId="77777777" w:rsidR="000070E4" w:rsidRPr="00E71453" w:rsidRDefault="000070E4" w:rsidP="006F34EE">
      <w:pPr>
        <w:widowControl/>
        <w:shd w:val="clear" w:color="auto" w:fill="FFFFFF"/>
        <w:autoSpaceDE/>
        <w:autoSpaceDN/>
        <w:adjustRightInd/>
        <w:spacing w:line="276" w:lineRule="auto"/>
        <w:jc w:val="both"/>
        <w:rPr>
          <w:sz w:val="24"/>
          <w:szCs w:val="24"/>
        </w:rPr>
      </w:pPr>
    </w:p>
    <w:p w14:paraId="3D425CAD" w14:textId="0711BCF0" w:rsidR="00E8781E" w:rsidRPr="001630CB" w:rsidRDefault="006F34EE" w:rsidP="006F34EE">
      <w:pPr>
        <w:widowControl/>
        <w:shd w:val="clear" w:color="auto" w:fill="FFFFFF"/>
        <w:tabs>
          <w:tab w:val="left" w:pos="720"/>
        </w:tabs>
        <w:autoSpaceDE/>
        <w:autoSpaceDN/>
        <w:adjustRightInd/>
        <w:spacing w:line="276" w:lineRule="auto"/>
        <w:jc w:val="both"/>
        <w:rPr>
          <w:rFonts w:eastAsia="Times New Roman"/>
          <w:sz w:val="24"/>
          <w:szCs w:val="24"/>
        </w:rPr>
      </w:pPr>
      <w:r w:rsidRPr="00E71453">
        <w:rPr>
          <w:b/>
          <w:bCs/>
          <w:sz w:val="24"/>
          <w:szCs w:val="24"/>
        </w:rPr>
        <w:tab/>
      </w:r>
      <w:r w:rsidR="00686D64" w:rsidRPr="00E71453">
        <w:rPr>
          <w:b/>
          <w:bCs/>
          <w:sz w:val="24"/>
          <w:szCs w:val="24"/>
        </w:rPr>
        <w:t xml:space="preserve">Subdivision (5) </w:t>
      </w:r>
      <w:r w:rsidR="00686D64" w:rsidRPr="00E71453">
        <w:rPr>
          <w:sz w:val="24"/>
          <w:szCs w:val="24"/>
        </w:rPr>
        <w:t xml:space="preserve">(d) </w:t>
      </w:r>
      <w:r w:rsidR="004510C3" w:rsidRPr="00E71453">
        <w:rPr>
          <w:sz w:val="24"/>
          <w:szCs w:val="24"/>
        </w:rPr>
        <w:t xml:space="preserve">is derived from </w:t>
      </w:r>
      <w:r w:rsidR="00686D64" w:rsidRPr="001630CB">
        <w:rPr>
          <w:i/>
          <w:iCs/>
          <w:sz w:val="24"/>
          <w:szCs w:val="24"/>
        </w:rPr>
        <w:t>Matter of State of New York v Floyd Y.</w:t>
      </w:r>
      <w:r w:rsidR="00686D64" w:rsidRPr="001630CB">
        <w:rPr>
          <w:sz w:val="24"/>
          <w:szCs w:val="24"/>
        </w:rPr>
        <w:t xml:space="preserve"> (22 NY3d 95 [2013]). Using the terminology “hearsay basis evidence” to refer to </w:t>
      </w:r>
      <w:r w:rsidR="00686D64" w:rsidRPr="001630CB">
        <w:rPr>
          <w:sz w:val="24"/>
          <w:szCs w:val="24"/>
        </w:rPr>
        <w:lastRenderedPageBreak/>
        <w:t>hearsay offered to explain the basis of an expert’s opinion, the Court held (at 109): “Due process requires any hearsay basis evidence to meet minimum requirements of reliability and relevance before it can be admitted at [a Mental Hygiene Law] article 10 proceeding. In article 10 trials, hearsay</w:t>
      </w:r>
      <w:r w:rsidR="00DD45EC" w:rsidRPr="001630CB">
        <w:rPr>
          <w:sz w:val="24"/>
          <w:szCs w:val="24"/>
        </w:rPr>
        <w:t xml:space="preserve"> basis </w:t>
      </w:r>
      <w:r w:rsidR="00686D64" w:rsidRPr="001630CB">
        <w:rPr>
          <w:sz w:val="24"/>
          <w:szCs w:val="24"/>
        </w:rPr>
        <w:t xml:space="preserve">evidence is admissible if it satisfies two criteria. First, the proponent must demonstrate through evidence that the hearsay is reliable. Second, the court must determine that the ‘probative value in helping the jury evaluate the [expert’s] opinion substantially outweighs [its] prejudicial effect.’ ” </w:t>
      </w:r>
    </w:p>
    <w:p w14:paraId="7411E255" w14:textId="77777777" w:rsidR="00E8781E" w:rsidRPr="001630CB" w:rsidRDefault="00E8781E" w:rsidP="006F34EE">
      <w:pPr>
        <w:widowControl/>
        <w:shd w:val="clear" w:color="auto" w:fill="FFFFFF"/>
        <w:autoSpaceDE/>
        <w:autoSpaceDN/>
        <w:adjustRightInd/>
        <w:spacing w:line="276" w:lineRule="auto"/>
        <w:jc w:val="both"/>
        <w:rPr>
          <w:b/>
          <w:bCs/>
          <w:sz w:val="24"/>
          <w:szCs w:val="24"/>
        </w:rPr>
      </w:pPr>
    </w:p>
    <w:p w14:paraId="6D7A07CF" w14:textId="5C5C0F43" w:rsidR="00C0697F" w:rsidRPr="001630CB" w:rsidRDefault="006F34EE" w:rsidP="006F34EE">
      <w:pPr>
        <w:pStyle w:val="ListParagraph"/>
        <w:widowControl/>
        <w:shd w:val="clear" w:color="auto" w:fill="FFFFFF"/>
        <w:tabs>
          <w:tab w:val="left" w:pos="720"/>
        </w:tabs>
        <w:autoSpaceDE/>
        <w:autoSpaceDN/>
        <w:adjustRightInd/>
        <w:spacing w:line="276" w:lineRule="auto"/>
        <w:ind w:left="0"/>
        <w:jc w:val="both"/>
        <w:rPr>
          <w:rFonts w:eastAsia="Times New Roman"/>
          <w:sz w:val="24"/>
          <w:szCs w:val="24"/>
        </w:rPr>
      </w:pPr>
      <w:r w:rsidRPr="001630CB">
        <w:rPr>
          <w:b/>
          <w:bCs/>
          <w:sz w:val="24"/>
          <w:szCs w:val="24"/>
        </w:rPr>
        <w:tab/>
      </w:r>
      <w:r w:rsidR="00C0697F" w:rsidRPr="00CC4887">
        <w:rPr>
          <w:b/>
          <w:bCs/>
          <w:sz w:val="24"/>
          <w:szCs w:val="24"/>
        </w:rPr>
        <w:t xml:space="preserve">Subdivision </w:t>
      </w:r>
      <w:r w:rsidR="00ED043C" w:rsidRPr="00CC4887">
        <w:rPr>
          <w:sz w:val="24"/>
          <w:szCs w:val="24"/>
        </w:rPr>
        <w:t xml:space="preserve">(6) </w:t>
      </w:r>
      <w:r w:rsidR="00C0697F" w:rsidRPr="001630CB">
        <w:rPr>
          <w:sz w:val="24"/>
          <w:szCs w:val="24"/>
        </w:rPr>
        <w:t>is taken verbatim from CPL 60.55. That section includes a requirement that the court give the jury the following limiting instruction: “Upon receiving the statement [of the defendant] in evidence, the court must instruct the jury that the statement is to be considered only on the issue of such affirmative defense and may not be considered by it in its determination of whether the defendant committed the act constituting the crime charged” (CPL 60.55 [2]).</w:t>
      </w:r>
    </w:p>
    <w:p w14:paraId="4326C6F7" w14:textId="3CB7818A" w:rsidR="00C0697F" w:rsidRPr="001630CB" w:rsidRDefault="00C0697F" w:rsidP="006F34EE">
      <w:pPr>
        <w:pStyle w:val="L3-1"/>
        <w:widowControl/>
        <w:tabs>
          <w:tab w:val="left" w:pos="1080"/>
          <w:tab w:val="left" w:pos="1440"/>
          <w:tab w:val="left" w:pos="2160"/>
          <w:tab w:val="left" w:pos="2880"/>
          <w:tab w:val="left" w:pos="3600"/>
          <w:tab w:val="left" w:pos="4320"/>
          <w:tab w:val="left" w:pos="5040"/>
          <w:tab w:val="left" w:pos="5760"/>
          <w:tab w:val="left" w:pos="6480"/>
          <w:tab w:val="left" w:pos="7200"/>
          <w:tab w:val="left" w:pos="7918"/>
        </w:tabs>
        <w:spacing w:line="276" w:lineRule="auto"/>
        <w:ind w:left="0" w:firstLine="0"/>
        <w:rPr>
          <w:rFonts w:ascii="Times New Roman" w:hAnsi="Times New Roman" w:cs="Times New Roman"/>
        </w:rPr>
      </w:pPr>
    </w:p>
    <w:p w14:paraId="251F4EAF" w14:textId="77777777" w:rsidR="00B91B72" w:rsidRPr="001630CB" w:rsidRDefault="00B91B72" w:rsidP="001A535B">
      <w:pPr>
        <w:pStyle w:val="L3-1"/>
        <w:widowControl/>
        <w:tabs>
          <w:tab w:val="left" w:pos="1080"/>
          <w:tab w:val="left" w:pos="1440"/>
          <w:tab w:val="left" w:pos="2160"/>
          <w:tab w:val="left" w:pos="2880"/>
          <w:tab w:val="left" w:pos="3600"/>
          <w:tab w:val="left" w:pos="4320"/>
          <w:tab w:val="left" w:pos="5040"/>
          <w:tab w:val="left" w:pos="5760"/>
          <w:tab w:val="left" w:pos="6480"/>
          <w:tab w:val="left" w:pos="7200"/>
          <w:tab w:val="left" w:pos="7918"/>
        </w:tabs>
        <w:spacing w:line="276" w:lineRule="auto"/>
        <w:ind w:left="0" w:firstLine="0"/>
        <w:rPr>
          <w:rFonts w:ascii="Times New Roman" w:hAnsi="Times New Roman" w:cs="Times New Roman"/>
        </w:rPr>
      </w:pPr>
    </w:p>
    <w:sectPr w:rsidR="00B91B72" w:rsidRPr="001630CB" w:rsidSect="00A10F5D">
      <w:footerReference w:type="default" r:id="rId16"/>
      <w:endnotePr>
        <w:numFmt w:val="decimal"/>
      </w:endnotePr>
      <w:type w:val="continuous"/>
      <w:pgSz w:w="12240" w:h="15840" w:code="1"/>
      <w:pgMar w:top="1080" w:right="2160" w:bottom="1080" w:left="21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5F9B57" w14:textId="77777777" w:rsidR="00A10F5D" w:rsidRDefault="00A10F5D">
      <w:r>
        <w:separator/>
      </w:r>
    </w:p>
  </w:endnote>
  <w:endnote w:type="continuationSeparator" w:id="0">
    <w:p w14:paraId="69C57070" w14:textId="77777777" w:rsidR="00A10F5D" w:rsidRDefault="00A10F5D">
      <w:r>
        <w:continuationSeparator/>
      </w:r>
    </w:p>
  </w:endnote>
  <w:endnote w:type="continuationNotice" w:id="1">
    <w:p w14:paraId="3D3DD8D7" w14:textId="77777777" w:rsidR="00A10F5D" w:rsidRDefault="00A10F5D"/>
  </w:endnote>
  <w:endnote w:id="2">
    <w:p w14:paraId="2FC8FFCE" w14:textId="35690BEF" w:rsidR="00B91B72" w:rsidRPr="001630CB" w:rsidRDefault="005807CB" w:rsidP="00B36891">
      <w:pPr>
        <w:pStyle w:val="EndnoteText"/>
        <w:jc w:val="both"/>
        <w:rPr>
          <w:sz w:val="22"/>
          <w:szCs w:val="22"/>
        </w:rPr>
      </w:pPr>
      <w:r w:rsidRPr="00D45403">
        <w:rPr>
          <w:rStyle w:val="EndnoteReference"/>
        </w:rPr>
        <w:endnoteRef/>
      </w:r>
      <w:r w:rsidRPr="00D45403">
        <w:t xml:space="preserve"> </w:t>
      </w:r>
      <w:r w:rsidR="00C10443">
        <w:tab/>
      </w:r>
      <w:r w:rsidR="00BF6DFF" w:rsidRPr="006D5320">
        <w:rPr>
          <w:sz w:val="22"/>
          <w:szCs w:val="22"/>
        </w:rPr>
        <w:t xml:space="preserve">In June 2022, </w:t>
      </w:r>
      <w:r w:rsidR="00547D1D" w:rsidRPr="006D5320">
        <w:rPr>
          <w:sz w:val="22"/>
          <w:szCs w:val="22"/>
        </w:rPr>
        <w:t>this rule was amended:</w:t>
      </w:r>
      <w:r w:rsidR="006C5D70">
        <w:rPr>
          <w:sz w:val="22"/>
          <w:szCs w:val="22"/>
        </w:rPr>
        <w:t xml:space="preserve">  [</w:t>
      </w:r>
      <w:r w:rsidR="00D974E9" w:rsidRPr="006D5320">
        <w:rPr>
          <w:sz w:val="22"/>
          <w:szCs w:val="22"/>
        </w:rPr>
        <w:t>1</w:t>
      </w:r>
      <w:r w:rsidR="006C5D70">
        <w:rPr>
          <w:sz w:val="22"/>
          <w:szCs w:val="22"/>
        </w:rPr>
        <w:t>]</w:t>
      </w:r>
      <w:r w:rsidR="00C47117" w:rsidRPr="006D5320">
        <w:rPr>
          <w:sz w:val="22"/>
          <w:szCs w:val="22"/>
        </w:rPr>
        <w:t xml:space="preserve"> to combine former</w:t>
      </w:r>
      <w:r w:rsidR="00307F62" w:rsidRPr="006D5320">
        <w:rPr>
          <w:sz w:val="22"/>
          <w:szCs w:val="22"/>
        </w:rPr>
        <w:t xml:space="preserve"> subparagraphs (i) and (ii) of</w:t>
      </w:r>
      <w:r w:rsidR="00C47117" w:rsidRPr="006D5320">
        <w:rPr>
          <w:sz w:val="22"/>
          <w:szCs w:val="22"/>
        </w:rPr>
        <w:t xml:space="preserve"> subd</w:t>
      </w:r>
      <w:r w:rsidR="00307F62" w:rsidRPr="006D5320">
        <w:rPr>
          <w:sz w:val="22"/>
          <w:szCs w:val="22"/>
        </w:rPr>
        <w:t>ivision</w:t>
      </w:r>
      <w:r w:rsidR="00C47117" w:rsidRPr="006D5320">
        <w:rPr>
          <w:sz w:val="22"/>
          <w:szCs w:val="22"/>
        </w:rPr>
        <w:t xml:space="preserve"> (5)</w:t>
      </w:r>
      <w:r w:rsidR="000B2B07" w:rsidRPr="006D5320">
        <w:rPr>
          <w:sz w:val="22"/>
          <w:szCs w:val="22"/>
        </w:rPr>
        <w:t xml:space="preserve"> </w:t>
      </w:r>
      <w:r w:rsidR="00C47117" w:rsidRPr="006D5320">
        <w:rPr>
          <w:sz w:val="22"/>
          <w:szCs w:val="22"/>
        </w:rPr>
        <w:t>(b)</w:t>
      </w:r>
      <w:r w:rsidR="001961DD" w:rsidRPr="006D5320">
        <w:rPr>
          <w:sz w:val="22"/>
          <w:szCs w:val="22"/>
        </w:rPr>
        <w:t xml:space="preserve"> into subparagraph (i)</w:t>
      </w:r>
      <w:r w:rsidR="00307F62" w:rsidRPr="006D5320">
        <w:rPr>
          <w:sz w:val="22"/>
          <w:szCs w:val="22"/>
        </w:rPr>
        <w:t xml:space="preserve"> of that subdivision</w:t>
      </w:r>
      <w:r w:rsidR="001961DD" w:rsidRPr="006D5320">
        <w:rPr>
          <w:sz w:val="22"/>
          <w:szCs w:val="22"/>
        </w:rPr>
        <w:t>;</w:t>
      </w:r>
      <w:r w:rsidR="00D974E9" w:rsidRPr="006D5320">
        <w:rPr>
          <w:sz w:val="22"/>
          <w:szCs w:val="22"/>
        </w:rPr>
        <w:t xml:space="preserve"> </w:t>
      </w:r>
      <w:r w:rsidR="006C5D70">
        <w:rPr>
          <w:sz w:val="22"/>
          <w:szCs w:val="22"/>
        </w:rPr>
        <w:t>[</w:t>
      </w:r>
      <w:r w:rsidR="001961DD" w:rsidRPr="006D5320">
        <w:rPr>
          <w:sz w:val="22"/>
          <w:szCs w:val="22"/>
        </w:rPr>
        <w:t>2</w:t>
      </w:r>
      <w:r w:rsidR="006C5D70">
        <w:rPr>
          <w:sz w:val="22"/>
          <w:szCs w:val="22"/>
        </w:rPr>
        <w:t>]</w:t>
      </w:r>
      <w:r w:rsidR="0056165C" w:rsidRPr="006D5320">
        <w:rPr>
          <w:sz w:val="22"/>
          <w:szCs w:val="22"/>
        </w:rPr>
        <w:t xml:space="preserve"> </w:t>
      </w:r>
      <w:r w:rsidR="00D974E9" w:rsidRPr="006D5320">
        <w:rPr>
          <w:sz w:val="22"/>
          <w:szCs w:val="22"/>
        </w:rPr>
        <w:t>to add subd</w:t>
      </w:r>
      <w:r w:rsidR="000B2B07" w:rsidRPr="006D5320">
        <w:rPr>
          <w:sz w:val="22"/>
          <w:szCs w:val="22"/>
        </w:rPr>
        <w:t xml:space="preserve">ivision </w:t>
      </w:r>
      <w:r w:rsidR="00D974E9" w:rsidRPr="006D5320">
        <w:rPr>
          <w:sz w:val="22"/>
          <w:szCs w:val="22"/>
        </w:rPr>
        <w:t>(5)</w:t>
      </w:r>
      <w:r w:rsidR="000B2B07" w:rsidRPr="006D5320">
        <w:rPr>
          <w:sz w:val="22"/>
          <w:szCs w:val="22"/>
        </w:rPr>
        <w:t xml:space="preserve"> </w:t>
      </w:r>
      <w:r w:rsidR="00D974E9" w:rsidRPr="006D5320">
        <w:rPr>
          <w:sz w:val="22"/>
          <w:szCs w:val="22"/>
        </w:rPr>
        <w:t>(b)</w:t>
      </w:r>
      <w:r w:rsidR="000B2B07" w:rsidRPr="006D5320">
        <w:rPr>
          <w:sz w:val="22"/>
          <w:szCs w:val="22"/>
        </w:rPr>
        <w:t xml:space="preserve"> </w:t>
      </w:r>
      <w:r w:rsidR="00D974E9" w:rsidRPr="006D5320">
        <w:rPr>
          <w:sz w:val="22"/>
          <w:szCs w:val="22"/>
        </w:rPr>
        <w:t xml:space="preserve">(ii) and </w:t>
      </w:r>
      <w:r w:rsidR="00E3758F" w:rsidRPr="006D5320">
        <w:rPr>
          <w:sz w:val="22"/>
          <w:szCs w:val="22"/>
        </w:rPr>
        <w:t xml:space="preserve">a </w:t>
      </w:r>
      <w:r w:rsidR="00D974E9" w:rsidRPr="006D5320">
        <w:rPr>
          <w:sz w:val="22"/>
          <w:szCs w:val="22"/>
        </w:rPr>
        <w:t xml:space="preserve">corresponding </w:t>
      </w:r>
      <w:r w:rsidR="00E3758F" w:rsidRPr="006D5320">
        <w:rPr>
          <w:sz w:val="22"/>
          <w:szCs w:val="22"/>
        </w:rPr>
        <w:t>N</w:t>
      </w:r>
      <w:r w:rsidR="00D974E9" w:rsidRPr="006D5320">
        <w:rPr>
          <w:sz w:val="22"/>
          <w:szCs w:val="22"/>
        </w:rPr>
        <w:t>ote</w:t>
      </w:r>
      <w:r w:rsidR="00E242EE" w:rsidRPr="006D5320">
        <w:rPr>
          <w:sz w:val="22"/>
          <w:szCs w:val="22"/>
        </w:rPr>
        <w:t xml:space="preserve">; </w:t>
      </w:r>
      <w:r w:rsidR="00125702">
        <w:rPr>
          <w:sz w:val="22"/>
          <w:szCs w:val="22"/>
        </w:rPr>
        <w:t xml:space="preserve">and </w:t>
      </w:r>
      <w:r w:rsidR="006C5D70">
        <w:rPr>
          <w:sz w:val="22"/>
          <w:szCs w:val="22"/>
        </w:rPr>
        <w:t>[</w:t>
      </w:r>
      <w:r w:rsidR="00B16675" w:rsidRPr="006D5320">
        <w:rPr>
          <w:sz w:val="22"/>
          <w:szCs w:val="22"/>
        </w:rPr>
        <w:t>3</w:t>
      </w:r>
      <w:r w:rsidR="006C5D70">
        <w:rPr>
          <w:sz w:val="22"/>
          <w:szCs w:val="22"/>
        </w:rPr>
        <w:t>]</w:t>
      </w:r>
      <w:r w:rsidR="00E242EE" w:rsidRPr="006D5320">
        <w:rPr>
          <w:sz w:val="22"/>
          <w:szCs w:val="22"/>
        </w:rPr>
        <w:t xml:space="preserve"> </w:t>
      </w:r>
      <w:r w:rsidR="00E3758F" w:rsidRPr="006D5320">
        <w:rPr>
          <w:sz w:val="22"/>
          <w:szCs w:val="22"/>
        </w:rPr>
        <w:t xml:space="preserve">to </w:t>
      </w:r>
      <w:r w:rsidR="009D6728">
        <w:rPr>
          <w:sz w:val="22"/>
          <w:szCs w:val="22"/>
        </w:rPr>
        <w:t xml:space="preserve">expand </w:t>
      </w:r>
      <w:r w:rsidR="007974CB" w:rsidRPr="006D5320">
        <w:rPr>
          <w:sz w:val="22"/>
          <w:szCs w:val="22"/>
        </w:rPr>
        <w:t xml:space="preserve">the </w:t>
      </w:r>
      <w:r w:rsidR="00E3758F" w:rsidRPr="006D5320">
        <w:rPr>
          <w:sz w:val="22"/>
          <w:szCs w:val="22"/>
        </w:rPr>
        <w:t>N</w:t>
      </w:r>
      <w:r w:rsidR="007974CB" w:rsidRPr="006D5320">
        <w:rPr>
          <w:sz w:val="22"/>
          <w:szCs w:val="22"/>
        </w:rPr>
        <w:t xml:space="preserve">ote to subdivision (1) on the court determining whether </w:t>
      </w:r>
      <w:r w:rsidR="00C41B42" w:rsidRPr="006D5320">
        <w:rPr>
          <w:sz w:val="22"/>
          <w:szCs w:val="22"/>
        </w:rPr>
        <w:t xml:space="preserve">a </w:t>
      </w:r>
      <w:r w:rsidR="007974CB" w:rsidRPr="006D5320">
        <w:rPr>
          <w:sz w:val="22"/>
          <w:szCs w:val="22"/>
        </w:rPr>
        <w:t>proffered witness is an expert</w:t>
      </w:r>
      <w:r w:rsidR="00F54149">
        <w:rPr>
          <w:sz w:val="22"/>
          <w:szCs w:val="22"/>
        </w:rPr>
        <w:t>,</w:t>
      </w:r>
      <w:r w:rsidR="00882D6E">
        <w:rPr>
          <w:sz w:val="22"/>
          <w:szCs w:val="22"/>
        </w:rPr>
        <w:t xml:space="preserve"> and to expand</w:t>
      </w:r>
      <w:r w:rsidR="007974CB" w:rsidRPr="006D5320">
        <w:rPr>
          <w:sz w:val="22"/>
          <w:szCs w:val="22"/>
        </w:rPr>
        <w:t xml:space="preserve"> the </w:t>
      </w:r>
      <w:r w:rsidR="00E86A7B" w:rsidRPr="006D5320">
        <w:rPr>
          <w:sz w:val="22"/>
          <w:szCs w:val="22"/>
        </w:rPr>
        <w:t>N</w:t>
      </w:r>
      <w:r w:rsidR="007974CB" w:rsidRPr="006D5320">
        <w:rPr>
          <w:sz w:val="22"/>
          <w:szCs w:val="22"/>
        </w:rPr>
        <w:t xml:space="preserve">ote to subdivision (2) to include </w:t>
      </w:r>
      <w:r w:rsidR="002E3774" w:rsidRPr="006D5320">
        <w:rPr>
          <w:sz w:val="22"/>
          <w:szCs w:val="22"/>
        </w:rPr>
        <w:t xml:space="preserve">the </w:t>
      </w:r>
      <w:r w:rsidR="007974CB" w:rsidRPr="006D5320">
        <w:rPr>
          <w:sz w:val="22"/>
          <w:szCs w:val="22"/>
        </w:rPr>
        <w:t xml:space="preserve">admonition </w:t>
      </w:r>
      <w:r w:rsidR="00E46018" w:rsidRPr="006D5320">
        <w:rPr>
          <w:sz w:val="22"/>
          <w:szCs w:val="22"/>
        </w:rPr>
        <w:t xml:space="preserve">set forth </w:t>
      </w:r>
      <w:r w:rsidR="007974CB" w:rsidRPr="006D5320">
        <w:rPr>
          <w:sz w:val="22"/>
          <w:szCs w:val="22"/>
        </w:rPr>
        <w:t xml:space="preserve">in </w:t>
      </w:r>
      <w:r w:rsidR="00C40A40" w:rsidRPr="006D5320">
        <w:rPr>
          <w:i/>
          <w:iCs/>
          <w:sz w:val="22"/>
          <w:szCs w:val="22"/>
        </w:rPr>
        <w:t>P</w:t>
      </w:r>
      <w:r w:rsidR="007974CB" w:rsidRPr="006D5320">
        <w:rPr>
          <w:i/>
          <w:iCs/>
          <w:sz w:val="22"/>
          <w:szCs w:val="22"/>
          <w:lang w:val="x-none"/>
        </w:rPr>
        <w:t>eople</w:t>
      </w:r>
      <w:r w:rsidR="007974CB" w:rsidRPr="006D5320">
        <w:rPr>
          <w:i/>
          <w:sz w:val="22"/>
          <w:szCs w:val="22"/>
          <w:lang w:val="x-none"/>
        </w:rPr>
        <w:t xml:space="preserve"> v </w:t>
      </w:r>
      <w:r w:rsidR="00C56EE1" w:rsidRPr="006D5320">
        <w:rPr>
          <w:i/>
          <w:sz w:val="22"/>
          <w:szCs w:val="22"/>
        </w:rPr>
        <w:t>Williams</w:t>
      </w:r>
      <w:r w:rsidR="007974CB" w:rsidRPr="006D5320">
        <w:rPr>
          <w:i/>
          <w:sz w:val="22"/>
          <w:szCs w:val="22"/>
          <w:lang w:val="x-none"/>
        </w:rPr>
        <w:t xml:space="preserve"> </w:t>
      </w:r>
      <w:r w:rsidR="000B2B07" w:rsidRPr="006D5320">
        <w:rPr>
          <w:iCs/>
          <w:sz w:val="22"/>
          <w:szCs w:val="22"/>
        </w:rPr>
        <w:t>(</w:t>
      </w:r>
      <w:r w:rsidR="007974CB" w:rsidRPr="006D5320">
        <w:rPr>
          <w:sz w:val="22"/>
          <w:szCs w:val="22"/>
          <w:lang w:val="x-none"/>
        </w:rPr>
        <w:t xml:space="preserve">35 </w:t>
      </w:r>
      <w:r w:rsidR="005C7828" w:rsidRPr="001630CB">
        <w:rPr>
          <w:sz w:val="22"/>
          <w:szCs w:val="22"/>
        </w:rPr>
        <w:t>NY</w:t>
      </w:r>
      <w:r w:rsidR="007974CB" w:rsidRPr="001630CB">
        <w:rPr>
          <w:sz w:val="22"/>
          <w:szCs w:val="22"/>
          <w:lang w:val="x-none"/>
        </w:rPr>
        <w:t xml:space="preserve">3d 24, </w:t>
      </w:r>
      <w:r w:rsidR="007974CB" w:rsidRPr="001630CB">
        <w:rPr>
          <w:sz w:val="22"/>
          <w:szCs w:val="22"/>
        </w:rPr>
        <w:t xml:space="preserve">43 </w:t>
      </w:r>
      <w:r w:rsidR="005C7828" w:rsidRPr="001630CB">
        <w:rPr>
          <w:sz w:val="22"/>
          <w:szCs w:val="22"/>
        </w:rPr>
        <w:t>[</w:t>
      </w:r>
      <w:r w:rsidR="007974CB" w:rsidRPr="001630CB">
        <w:rPr>
          <w:sz w:val="22"/>
          <w:szCs w:val="22"/>
          <w:lang w:val="x-none"/>
        </w:rPr>
        <w:t>2020</w:t>
      </w:r>
      <w:r w:rsidR="005C7828" w:rsidRPr="001630CB">
        <w:rPr>
          <w:sz w:val="22"/>
          <w:szCs w:val="22"/>
        </w:rPr>
        <w:t>]</w:t>
      </w:r>
      <w:r w:rsidR="000B2B07" w:rsidRPr="001630CB">
        <w:rPr>
          <w:sz w:val="22"/>
          <w:szCs w:val="22"/>
        </w:rPr>
        <w:t>)</w:t>
      </w:r>
      <w:r w:rsidR="007974CB" w:rsidRPr="001630CB">
        <w:rPr>
          <w:sz w:val="22"/>
          <w:szCs w:val="22"/>
        </w:rPr>
        <w:t>.</w:t>
      </w:r>
    </w:p>
    <w:p w14:paraId="002DC185" w14:textId="6CC5CB7D" w:rsidR="00476C7C" w:rsidRPr="006D5320" w:rsidRDefault="006F34EE" w:rsidP="006F34EE">
      <w:pPr>
        <w:pStyle w:val="EndnoteText"/>
        <w:tabs>
          <w:tab w:val="left" w:pos="720"/>
        </w:tabs>
        <w:jc w:val="both"/>
        <w:rPr>
          <w:sz w:val="22"/>
          <w:szCs w:val="22"/>
          <w:lang w:val="en-CA"/>
        </w:rPr>
      </w:pPr>
      <w:r w:rsidRPr="00E71453">
        <w:rPr>
          <w:sz w:val="22"/>
          <w:szCs w:val="22"/>
        </w:rPr>
        <w:tab/>
      </w:r>
      <w:r w:rsidR="00476C7C" w:rsidRPr="00E71453">
        <w:rPr>
          <w:sz w:val="22"/>
          <w:szCs w:val="22"/>
        </w:rPr>
        <w:t xml:space="preserve">In </w:t>
      </w:r>
      <w:r w:rsidR="00AE3BC1" w:rsidRPr="00E71453">
        <w:rPr>
          <w:sz w:val="22"/>
          <w:szCs w:val="22"/>
        </w:rPr>
        <w:t xml:space="preserve">May </w:t>
      </w:r>
      <w:r w:rsidR="00476C7C" w:rsidRPr="00E71453">
        <w:rPr>
          <w:sz w:val="22"/>
          <w:szCs w:val="22"/>
        </w:rPr>
        <w:t xml:space="preserve">2024, </w:t>
      </w:r>
      <w:r w:rsidR="00C53A58" w:rsidRPr="00E71453">
        <w:rPr>
          <w:sz w:val="22"/>
          <w:szCs w:val="22"/>
        </w:rPr>
        <w:t>subdivision 5</w:t>
      </w:r>
      <w:r w:rsidR="002B0222" w:rsidRPr="00E71453">
        <w:rPr>
          <w:sz w:val="22"/>
          <w:szCs w:val="22"/>
        </w:rPr>
        <w:t xml:space="preserve"> </w:t>
      </w:r>
      <w:r w:rsidR="00C53A58" w:rsidRPr="00E71453">
        <w:rPr>
          <w:sz w:val="22"/>
          <w:szCs w:val="22"/>
        </w:rPr>
        <w:t>(d) was renamed subdivision (6)</w:t>
      </w:r>
      <w:r w:rsidR="008301B2" w:rsidRPr="00E71453">
        <w:rPr>
          <w:sz w:val="22"/>
          <w:szCs w:val="22"/>
        </w:rPr>
        <w:t>;</w:t>
      </w:r>
      <w:r w:rsidR="00C53A58" w:rsidRPr="00E71453">
        <w:rPr>
          <w:sz w:val="22"/>
          <w:szCs w:val="22"/>
        </w:rPr>
        <w:t xml:space="preserve"> </w:t>
      </w:r>
      <w:r w:rsidR="008301B2" w:rsidRPr="00E71453">
        <w:rPr>
          <w:sz w:val="22"/>
          <w:szCs w:val="22"/>
        </w:rPr>
        <w:t xml:space="preserve">subdivision </w:t>
      </w:r>
      <w:r w:rsidR="00E71453" w:rsidRPr="00E71453">
        <w:rPr>
          <w:sz w:val="22"/>
          <w:szCs w:val="22"/>
        </w:rPr>
        <w:t>(</w:t>
      </w:r>
      <w:r w:rsidR="008301B2" w:rsidRPr="00E71453">
        <w:rPr>
          <w:sz w:val="22"/>
          <w:szCs w:val="22"/>
        </w:rPr>
        <w:t>5</w:t>
      </w:r>
      <w:r w:rsidR="00E71453" w:rsidRPr="00E71453">
        <w:rPr>
          <w:sz w:val="22"/>
          <w:szCs w:val="22"/>
        </w:rPr>
        <w:t>)</w:t>
      </w:r>
      <w:r w:rsidR="002B0222" w:rsidRPr="00E71453">
        <w:rPr>
          <w:sz w:val="22"/>
          <w:szCs w:val="22"/>
        </w:rPr>
        <w:t xml:space="preserve"> </w:t>
      </w:r>
      <w:r w:rsidR="008301B2" w:rsidRPr="00E71453">
        <w:rPr>
          <w:sz w:val="22"/>
          <w:szCs w:val="22"/>
        </w:rPr>
        <w:t xml:space="preserve">(e) was renamed </w:t>
      </w:r>
      <w:r w:rsidR="00E71453" w:rsidRPr="00E71453">
        <w:rPr>
          <w:sz w:val="22"/>
          <w:szCs w:val="22"/>
        </w:rPr>
        <w:t>(</w:t>
      </w:r>
      <w:r w:rsidR="008301B2" w:rsidRPr="00E71453">
        <w:rPr>
          <w:sz w:val="22"/>
          <w:szCs w:val="22"/>
        </w:rPr>
        <w:t>5</w:t>
      </w:r>
      <w:r w:rsidR="00E71453" w:rsidRPr="00E71453">
        <w:rPr>
          <w:sz w:val="22"/>
          <w:szCs w:val="22"/>
        </w:rPr>
        <w:t>)</w:t>
      </w:r>
      <w:r w:rsidR="002B0222" w:rsidRPr="00E71453">
        <w:rPr>
          <w:sz w:val="22"/>
          <w:szCs w:val="22"/>
        </w:rPr>
        <w:t xml:space="preserve"> </w:t>
      </w:r>
      <w:r w:rsidR="008301B2" w:rsidRPr="00E71453">
        <w:rPr>
          <w:sz w:val="22"/>
          <w:szCs w:val="22"/>
        </w:rPr>
        <w:t xml:space="preserve">(d); </w:t>
      </w:r>
      <w:r w:rsidR="00C53A58" w:rsidRPr="00E71453">
        <w:rPr>
          <w:sz w:val="22"/>
          <w:szCs w:val="22"/>
        </w:rPr>
        <w:t xml:space="preserve">and </w:t>
      </w:r>
      <w:r w:rsidR="00476C7C" w:rsidRPr="00E71453">
        <w:rPr>
          <w:sz w:val="22"/>
          <w:szCs w:val="22"/>
        </w:rPr>
        <w:t>the Note to subdivision (5) was update</w:t>
      </w:r>
      <w:r w:rsidR="00820107" w:rsidRPr="00E71453">
        <w:rPr>
          <w:sz w:val="22"/>
          <w:szCs w:val="22"/>
        </w:rPr>
        <w:t xml:space="preserve">d </w:t>
      </w:r>
      <w:r w:rsidR="00476C7C" w:rsidRPr="00E71453">
        <w:rPr>
          <w:sz w:val="22"/>
          <w:szCs w:val="22"/>
        </w:rPr>
        <w:t>to account fo</w:t>
      </w:r>
      <w:r w:rsidR="002A23F5" w:rsidRPr="00E71453">
        <w:rPr>
          <w:sz w:val="22"/>
          <w:szCs w:val="22"/>
        </w:rPr>
        <w:t>r the</w:t>
      </w:r>
      <w:r w:rsidR="00265044" w:rsidRPr="00E71453">
        <w:rPr>
          <w:sz w:val="22"/>
          <w:szCs w:val="22"/>
        </w:rPr>
        <w:t xml:space="preserve"> holdings and</w:t>
      </w:r>
      <w:r w:rsidR="002A23F5" w:rsidRPr="00E71453">
        <w:rPr>
          <w:sz w:val="22"/>
          <w:szCs w:val="22"/>
        </w:rPr>
        <w:t xml:space="preserve"> import of two Court of Appeals cases: </w:t>
      </w:r>
      <w:r w:rsidR="002A23F5" w:rsidRPr="00E71453">
        <w:rPr>
          <w:rFonts w:eastAsia="Times New Roman"/>
          <w:i/>
          <w:iCs/>
          <w:sz w:val="22"/>
          <w:szCs w:val="22"/>
          <w:bdr w:val="none" w:sz="0" w:space="0" w:color="auto" w:frame="1"/>
        </w:rPr>
        <w:t>People v Jordan</w:t>
      </w:r>
      <w:r w:rsidR="002A23F5" w:rsidRPr="00E71453">
        <w:rPr>
          <w:rFonts w:eastAsia="Times New Roman"/>
          <w:sz w:val="22"/>
          <w:szCs w:val="22"/>
        </w:rPr>
        <w:t xml:space="preserve"> </w:t>
      </w:r>
      <w:r w:rsidR="002B0222" w:rsidRPr="00E71453">
        <w:rPr>
          <w:rFonts w:eastAsia="Times New Roman"/>
          <w:sz w:val="22"/>
          <w:szCs w:val="22"/>
        </w:rPr>
        <w:t>(</w:t>
      </w:r>
      <w:r w:rsidR="002A23F5" w:rsidRPr="00E71453">
        <w:rPr>
          <w:rFonts w:eastAsia="Times New Roman"/>
          <w:sz w:val="22"/>
          <w:szCs w:val="22"/>
        </w:rPr>
        <w:t>40 NY3d 396, 401 [2023]</w:t>
      </w:r>
      <w:r w:rsidR="002B0222" w:rsidRPr="00E71453">
        <w:rPr>
          <w:rFonts w:eastAsia="Times New Roman"/>
          <w:sz w:val="22"/>
          <w:szCs w:val="22"/>
        </w:rPr>
        <w:t>)</w:t>
      </w:r>
      <w:r w:rsidR="002A23F5" w:rsidRPr="00E71453">
        <w:rPr>
          <w:rFonts w:eastAsia="Times New Roman"/>
          <w:sz w:val="22"/>
          <w:szCs w:val="22"/>
        </w:rPr>
        <w:t xml:space="preserve"> and</w:t>
      </w:r>
      <w:r w:rsidR="002A23F5" w:rsidRPr="00E71453">
        <w:rPr>
          <w:sz w:val="22"/>
          <w:szCs w:val="22"/>
        </w:rPr>
        <w:t xml:space="preserve"> </w:t>
      </w:r>
      <w:r w:rsidR="002A23F5" w:rsidRPr="00E71453">
        <w:rPr>
          <w:i/>
          <w:iCs/>
          <w:sz w:val="22"/>
          <w:szCs w:val="22"/>
        </w:rPr>
        <w:t>People v Ortega</w:t>
      </w:r>
      <w:r w:rsidR="002A23F5" w:rsidRPr="00E71453">
        <w:rPr>
          <w:sz w:val="22"/>
          <w:szCs w:val="22"/>
        </w:rPr>
        <w:t xml:space="preserve"> </w:t>
      </w:r>
      <w:r w:rsidR="002B0222" w:rsidRPr="00E71453">
        <w:rPr>
          <w:sz w:val="22"/>
          <w:szCs w:val="22"/>
        </w:rPr>
        <w:t>(40 NY3d 463 [</w:t>
      </w:r>
      <w:r w:rsidR="002A23F5" w:rsidRPr="00E71453">
        <w:rPr>
          <w:sz w:val="22"/>
          <w:szCs w:val="22"/>
        </w:rPr>
        <w:t>2023</w:t>
      </w:r>
      <w:r w:rsidR="002B0222" w:rsidRPr="00E71453">
        <w:rPr>
          <w:sz w:val="22"/>
          <w:szCs w:val="22"/>
        </w:rPr>
        <w:t>]</w:t>
      </w:r>
      <w:r w:rsidR="002A23F5" w:rsidRPr="00E71453">
        <w:rPr>
          <w:sz w:val="22"/>
          <w:szCs w:val="22"/>
        </w:rPr>
        <w:t>)</w:t>
      </w:r>
      <w:r w:rsidR="00BC231F" w:rsidRPr="00E71453">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2B062" w14:textId="77777777" w:rsidR="00B77F2E" w:rsidRDefault="00B77F2E">
    <w:pPr>
      <w:pStyle w:val="Footer"/>
      <w:jc w:val="center"/>
    </w:pPr>
    <w:r>
      <w:fldChar w:fldCharType="begin"/>
    </w:r>
    <w:r>
      <w:instrText xml:space="preserve"> PAGE   \* MERGEFORMAT </w:instrText>
    </w:r>
    <w:r>
      <w:fldChar w:fldCharType="separate"/>
    </w:r>
    <w:r w:rsidR="005B1F0F">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D9BA7" w14:textId="77777777" w:rsidR="00A10F5D" w:rsidRDefault="00A10F5D">
      <w:r>
        <w:separator/>
      </w:r>
    </w:p>
  </w:footnote>
  <w:footnote w:type="continuationSeparator" w:id="0">
    <w:p w14:paraId="07B5CA86" w14:textId="77777777" w:rsidR="00A10F5D" w:rsidRDefault="00A10F5D">
      <w:r>
        <w:continuationSeparator/>
      </w:r>
    </w:p>
  </w:footnote>
  <w:footnote w:type="continuationNotice" w:id="1">
    <w:p w14:paraId="4D5DF424" w14:textId="77777777" w:rsidR="00A10F5D" w:rsidRDefault="00A10F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162AA164"/>
    <w:lvl w:ilvl="0">
      <w:numFmt w:val="bullet"/>
      <w:lvlText w:val="*"/>
      <w:lvlJc w:val="left"/>
    </w:lvl>
  </w:abstractNum>
  <w:abstractNum w:abstractNumId="1" w15:restartNumberingAfterBreak="0">
    <w:nsid w:val="0BD514BF"/>
    <w:multiLevelType w:val="hybridMultilevel"/>
    <w:tmpl w:val="2496F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300F29"/>
    <w:multiLevelType w:val="hybridMultilevel"/>
    <w:tmpl w:val="F3103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0169451">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 w:numId="2" w16cid:durableId="538906083">
    <w:abstractNumId w:val="0"/>
    <w:lvlOverride w:ilvl="0">
      <w:lvl w:ilvl="0">
        <w:start w:val="1"/>
        <w:numFmt w:val="bullet"/>
        <w:lvlText w:val=""/>
        <w:legacy w:legacy="1" w:legacySpace="0" w:legacyIndent="1"/>
        <w:lvlJc w:val="left"/>
        <w:pPr>
          <w:ind w:left="721" w:hanging="1"/>
        </w:pPr>
        <w:rPr>
          <w:rFonts w:ascii="Symbol" w:hAnsi="Symbol" w:hint="default"/>
        </w:rPr>
      </w:lvl>
    </w:lvlOverride>
  </w:num>
  <w:num w:numId="3" w16cid:durableId="1809936493">
    <w:abstractNumId w:val="1"/>
  </w:num>
  <w:num w:numId="4" w16cid:durableId="869878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1FB"/>
    <w:rsid w:val="0000292D"/>
    <w:rsid w:val="00003386"/>
    <w:rsid w:val="00003558"/>
    <w:rsid w:val="000070E4"/>
    <w:rsid w:val="00017FF6"/>
    <w:rsid w:val="00027BE5"/>
    <w:rsid w:val="000304C2"/>
    <w:rsid w:val="000358E5"/>
    <w:rsid w:val="00037256"/>
    <w:rsid w:val="00040533"/>
    <w:rsid w:val="00046201"/>
    <w:rsid w:val="000463B3"/>
    <w:rsid w:val="00046AB9"/>
    <w:rsid w:val="00046DD1"/>
    <w:rsid w:val="000501A9"/>
    <w:rsid w:val="000533B4"/>
    <w:rsid w:val="00054F04"/>
    <w:rsid w:val="00055FE2"/>
    <w:rsid w:val="00060B71"/>
    <w:rsid w:val="00063311"/>
    <w:rsid w:val="00065CA0"/>
    <w:rsid w:val="00067B60"/>
    <w:rsid w:val="00070020"/>
    <w:rsid w:val="00070380"/>
    <w:rsid w:val="00085CF5"/>
    <w:rsid w:val="000907A5"/>
    <w:rsid w:val="000912F0"/>
    <w:rsid w:val="00092ECD"/>
    <w:rsid w:val="0009582A"/>
    <w:rsid w:val="00095E31"/>
    <w:rsid w:val="000A21FD"/>
    <w:rsid w:val="000A28DE"/>
    <w:rsid w:val="000A2FD7"/>
    <w:rsid w:val="000A36B2"/>
    <w:rsid w:val="000A5BC0"/>
    <w:rsid w:val="000A75E6"/>
    <w:rsid w:val="000B1EDA"/>
    <w:rsid w:val="000B2B07"/>
    <w:rsid w:val="000B3CAE"/>
    <w:rsid w:val="000B5752"/>
    <w:rsid w:val="000B63EA"/>
    <w:rsid w:val="000B771D"/>
    <w:rsid w:val="000B79A0"/>
    <w:rsid w:val="000C1254"/>
    <w:rsid w:val="000C2412"/>
    <w:rsid w:val="000C2AD7"/>
    <w:rsid w:val="000C4571"/>
    <w:rsid w:val="000C60B8"/>
    <w:rsid w:val="000C6516"/>
    <w:rsid w:val="000C7115"/>
    <w:rsid w:val="000D47AB"/>
    <w:rsid w:val="000E2247"/>
    <w:rsid w:val="000E4A13"/>
    <w:rsid w:val="000E675C"/>
    <w:rsid w:val="000F6EB5"/>
    <w:rsid w:val="001001A5"/>
    <w:rsid w:val="00102AA7"/>
    <w:rsid w:val="001051A3"/>
    <w:rsid w:val="001058F0"/>
    <w:rsid w:val="00105AE8"/>
    <w:rsid w:val="00105C13"/>
    <w:rsid w:val="00120488"/>
    <w:rsid w:val="00120A07"/>
    <w:rsid w:val="00125702"/>
    <w:rsid w:val="00125BFF"/>
    <w:rsid w:val="001300F3"/>
    <w:rsid w:val="0013657E"/>
    <w:rsid w:val="00141BD7"/>
    <w:rsid w:val="001433EF"/>
    <w:rsid w:val="0014412C"/>
    <w:rsid w:val="00147789"/>
    <w:rsid w:val="00152121"/>
    <w:rsid w:val="00153BE6"/>
    <w:rsid w:val="00156040"/>
    <w:rsid w:val="0016076B"/>
    <w:rsid w:val="001630CB"/>
    <w:rsid w:val="00163361"/>
    <w:rsid w:val="00164D3D"/>
    <w:rsid w:val="00165691"/>
    <w:rsid w:val="00171667"/>
    <w:rsid w:val="00173262"/>
    <w:rsid w:val="00174677"/>
    <w:rsid w:val="00175318"/>
    <w:rsid w:val="00175BB6"/>
    <w:rsid w:val="001760CD"/>
    <w:rsid w:val="0017723F"/>
    <w:rsid w:val="001832B5"/>
    <w:rsid w:val="00190F32"/>
    <w:rsid w:val="0019357D"/>
    <w:rsid w:val="00193788"/>
    <w:rsid w:val="001943E1"/>
    <w:rsid w:val="001961DD"/>
    <w:rsid w:val="001975B4"/>
    <w:rsid w:val="00197FD5"/>
    <w:rsid w:val="001A2104"/>
    <w:rsid w:val="001A436D"/>
    <w:rsid w:val="001A535B"/>
    <w:rsid w:val="001B6020"/>
    <w:rsid w:val="001B6E9B"/>
    <w:rsid w:val="001B77F5"/>
    <w:rsid w:val="001C09DC"/>
    <w:rsid w:val="001C2B8C"/>
    <w:rsid w:val="001C4777"/>
    <w:rsid w:val="001C4962"/>
    <w:rsid w:val="001C7076"/>
    <w:rsid w:val="001D35F8"/>
    <w:rsid w:val="001D3724"/>
    <w:rsid w:val="001D3A61"/>
    <w:rsid w:val="001D3BD8"/>
    <w:rsid w:val="001D549B"/>
    <w:rsid w:val="001D567A"/>
    <w:rsid w:val="001D5EAD"/>
    <w:rsid w:val="001E171B"/>
    <w:rsid w:val="001E1759"/>
    <w:rsid w:val="001E19B7"/>
    <w:rsid w:val="001E4C63"/>
    <w:rsid w:val="001E6D29"/>
    <w:rsid w:val="001F0109"/>
    <w:rsid w:val="001F4B9F"/>
    <w:rsid w:val="001F55DC"/>
    <w:rsid w:val="001F6100"/>
    <w:rsid w:val="00200C83"/>
    <w:rsid w:val="002035EC"/>
    <w:rsid w:val="0020377E"/>
    <w:rsid w:val="00204ECC"/>
    <w:rsid w:val="00205722"/>
    <w:rsid w:val="002067EA"/>
    <w:rsid w:val="00210C0B"/>
    <w:rsid w:val="00214868"/>
    <w:rsid w:val="0021524A"/>
    <w:rsid w:val="00216ABF"/>
    <w:rsid w:val="0021741E"/>
    <w:rsid w:val="00221F45"/>
    <w:rsid w:val="00226A6D"/>
    <w:rsid w:val="00227B10"/>
    <w:rsid w:val="00233A9A"/>
    <w:rsid w:val="00236238"/>
    <w:rsid w:val="00247D1C"/>
    <w:rsid w:val="00253B48"/>
    <w:rsid w:val="00254045"/>
    <w:rsid w:val="00256B95"/>
    <w:rsid w:val="00256C77"/>
    <w:rsid w:val="00265044"/>
    <w:rsid w:val="00267CEB"/>
    <w:rsid w:val="002807F7"/>
    <w:rsid w:val="00281E03"/>
    <w:rsid w:val="00286915"/>
    <w:rsid w:val="002878A4"/>
    <w:rsid w:val="002918FD"/>
    <w:rsid w:val="00293759"/>
    <w:rsid w:val="00296F80"/>
    <w:rsid w:val="00297FB1"/>
    <w:rsid w:val="002A061C"/>
    <w:rsid w:val="002A13D9"/>
    <w:rsid w:val="002A205F"/>
    <w:rsid w:val="002A23F5"/>
    <w:rsid w:val="002B0222"/>
    <w:rsid w:val="002B07F4"/>
    <w:rsid w:val="002B3C93"/>
    <w:rsid w:val="002C14BB"/>
    <w:rsid w:val="002D276F"/>
    <w:rsid w:val="002D2B03"/>
    <w:rsid w:val="002D5EC3"/>
    <w:rsid w:val="002E31BB"/>
    <w:rsid w:val="002E3774"/>
    <w:rsid w:val="002E712C"/>
    <w:rsid w:val="002F6212"/>
    <w:rsid w:val="00301A31"/>
    <w:rsid w:val="003025DC"/>
    <w:rsid w:val="00307E8C"/>
    <w:rsid w:val="00307F62"/>
    <w:rsid w:val="0031189A"/>
    <w:rsid w:val="00313D76"/>
    <w:rsid w:val="00313FDF"/>
    <w:rsid w:val="00316CB7"/>
    <w:rsid w:val="00317975"/>
    <w:rsid w:val="0032275F"/>
    <w:rsid w:val="003377A9"/>
    <w:rsid w:val="003378E6"/>
    <w:rsid w:val="0034393C"/>
    <w:rsid w:val="00345E7F"/>
    <w:rsid w:val="003504E7"/>
    <w:rsid w:val="00351DC4"/>
    <w:rsid w:val="003521B5"/>
    <w:rsid w:val="0035239A"/>
    <w:rsid w:val="00355B20"/>
    <w:rsid w:val="00355FC8"/>
    <w:rsid w:val="0036235B"/>
    <w:rsid w:val="003631D8"/>
    <w:rsid w:val="00364A77"/>
    <w:rsid w:val="00364AB2"/>
    <w:rsid w:val="00365D78"/>
    <w:rsid w:val="0036770F"/>
    <w:rsid w:val="0036784B"/>
    <w:rsid w:val="00373A14"/>
    <w:rsid w:val="00373A5F"/>
    <w:rsid w:val="00375C5B"/>
    <w:rsid w:val="00377F66"/>
    <w:rsid w:val="00382996"/>
    <w:rsid w:val="00392C8C"/>
    <w:rsid w:val="003A3651"/>
    <w:rsid w:val="003B027F"/>
    <w:rsid w:val="003B2A88"/>
    <w:rsid w:val="003B48F6"/>
    <w:rsid w:val="003B503A"/>
    <w:rsid w:val="003D23E2"/>
    <w:rsid w:val="003D5D62"/>
    <w:rsid w:val="003D7BE0"/>
    <w:rsid w:val="003E2D6A"/>
    <w:rsid w:val="003F41A6"/>
    <w:rsid w:val="00410404"/>
    <w:rsid w:val="004116EF"/>
    <w:rsid w:val="00412028"/>
    <w:rsid w:val="0041633C"/>
    <w:rsid w:val="00423E74"/>
    <w:rsid w:val="00427256"/>
    <w:rsid w:val="00430129"/>
    <w:rsid w:val="0043187F"/>
    <w:rsid w:val="004353CF"/>
    <w:rsid w:val="00435DC1"/>
    <w:rsid w:val="00445A51"/>
    <w:rsid w:val="0045063F"/>
    <w:rsid w:val="004510C3"/>
    <w:rsid w:val="00451E90"/>
    <w:rsid w:val="0045370B"/>
    <w:rsid w:val="00453E6B"/>
    <w:rsid w:val="00454FC4"/>
    <w:rsid w:val="004576DC"/>
    <w:rsid w:val="0046415A"/>
    <w:rsid w:val="004653F3"/>
    <w:rsid w:val="00476C7C"/>
    <w:rsid w:val="00477BE2"/>
    <w:rsid w:val="004804AE"/>
    <w:rsid w:val="00481EF1"/>
    <w:rsid w:val="00490C5D"/>
    <w:rsid w:val="00491A93"/>
    <w:rsid w:val="004922B0"/>
    <w:rsid w:val="004A0A70"/>
    <w:rsid w:val="004A251E"/>
    <w:rsid w:val="004A49EE"/>
    <w:rsid w:val="004A4A33"/>
    <w:rsid w:val="004A61A6"/>
    <w:rsid w:val="004A6510"/>
    <w:rsid w:val="004B049E"/>
    <w:rsid w:val="004B26EE"/>
    <w:rsid w:val="004B738A"/>
    <w:rsid w:val="004B7E71"/>
    <w:rsid w:val="004C1ADC"/>
    <w:rsid w:val="004C2D6F"/>
    <w:rsid w:val="004C3B89"/>
    <w:rsid w:val="004C434E"/>
    <w:rsid w:val="004C7906"/>
    <w:rsid w:val="004D27A0"/>
    <w:rsid w:val="004D2DB0"/>
    <w:rsid w:val="004D4B63"/>
    <w:rsid w:val="004E288B"/>
    <w:rsid w:val="004E3606"/>
    <w:rsid w:val="004E4061"/>
    <w:rsid w:val="004E49E3"/>
    <w:rsid w:val="004E55F0"/>
    <w:rsid w:val="004F21A2"/>
    <w:rsid w:val="004F3509"/>
    <w:rsid w:val="004F59E1"/>
    <w:rsid w:val="004F5A71"/>
    <w:rsid w:val="004F7CAF"/>
    <w:rsid w:val="00500CC7"/>
    <w:rsid w:val="0051003E"/>
    <w:rsid w:val="005104EA"/>
    <w:rsid w:val="00511113"/>
    <w:rsid w:val="0051374D"/>
    <w:rsid w:val="00514B00"/>
    <w:rsid w:val="00521F54"/>
    <w:rsid w:val="00526ADD"/>
    <w:rsid w:val="00530154"/>
    <w:rsid w:val="00532208"/>
    <w:rsid w:val="005338C8"/>
    <w:rsid w:val="0053727E"/>
    <w:rsid w:val="0053784B"/>
    <w:rsid w:val="00544964"/>
    <w:rsid w:val="00547D1D"/>
    <w:rsid w:val="00547D2D"/>
    <w:rsid w:val="0056165C"/>
    <w:rsid w:val="00561661"/>
    <w:rsid w:val="00562810"/>
    <w:rsid w:val="00564322"/>
    <w:rsid w:val="005663BA"/>
    <w:rsid w:val="0056745E"/>
    <w:rsid w:val="005707DD"/>
    <w:rsid w:val="00574E5D"/>
    <w:rsid w:val="005779C9"/>
    <w:rsid w:val="005807CB"/>
    <w:rsid w:val="005819EA"/>
    <w:rsid w:val="00582054"/>
    <w:rsid w:val="00583595"/>
    <w:rsid w:val="00584268"/>
    <w:rsid w:val="00584502"/>
    <w:rsid w:val="00584903"/>
    <w:rsid w:val="00585335"/>
    <w:rsid w:val="00587DA2"/>
    <w:rsid w:val="0059080F"/>
    <w:rsid w:val="005A0B83"/>
    <w:rsid w:val="005A1A1F"/>
    <w:rsid w:val="005A1DED"/>
    <w:rsid w:val="005A2575"/>
    <w:rsid w:val="005A3B0F"/>
    <w:rsid w:val="005A5A79"/>
    <w:rsid w:val="005B1D27"/>
    <w:rsid w:val="005B1F0F"/>
    <w:rsid w:val="005B2DFB"/>
    <w:rsid w:val="005B322D"/>
    <w:rsid w:val="005B36D7"/>
    <w:rsid w:val="005C15A1"/>
    <w:rsid w:val="005C1F46"/>
    <w:rsid w:val="005C3FEC"/>
    <w:rsid w:val="005C42FE"/>
    <w:rsid w:val="005C6587"/>
    <w:rsid w:val="005C769B"/>
    <w:rsid w:val="005C7828"/>
    <w:rsid w:val="005C7B7F"/>
    <w:rsid w:val="005C7C36"/>
    <w:rsid w:val="005D0452"/>
    <w:rsid w:val="005D0F0D"/>
    <w:rsid w:val="005D6354"/>
    <w:rsid w:val="005F21E9"/>
    <w:rsid w:val="005F3A0E"/>
    <w:rsid w:val="005F3D50"/>
    <w:rsid w:val="00607836"/>
    <w:rsid w:val="00611EDC"/>
    <w:rsid w:val="0061375A"/>
    <w:rsid w:val="00614E7D"/>
    <w:rsid w:val="00615BC5"/>
    <w:rsid w:val="006212EC"/>
    <w:rsid w:val="00622270"/>
    <w:rsid w:val="0062309B"/>
    <w:rsid w:val="00623F72"/>
    <w:rsid w:val="006249FC"/>
    <w:rsid w:val="00624EC2"/>
    <w:rsid w:val="00626440"/>
    <w:rsid w:val="006350AA"/>
    <w:rsid w:val="0063602C"/>
    <w:rsid w:val="00637102"/>
    <w:rsid w:val="00646517"/>
    <w:rsid w:val="00647DCE"/>
    <w:rsid w:val="00655496"/>
    <w:rsid w:val="00657486"/>
    <w:rsid w:val="0066417F"/>
    <w:rsid w:val="00664392"/>
    <w:rsid w:val="00667424"/>
    <w:rsid w:val="0067075A"/>
    <w:rsid w:val="00670F7D"/>
    <w:rsid w:val="006714AE"/>
    <w:rsid w:val="006733F9"/>
    <w:rsid w:val="0068099F"/>
    <w:rsid w:val="006812C1"/>
    <w:rsid w:val="00682209"/>
    <w:rsid w:val="00684EF9"/>
    <w:rsid w:val="00686AF3"/>
    <w:rsid w:val="00686D64"/>
    <w:rsid w:val="006962A4"/>
    <w:rsid w:val="00696AA9"/>
    <w:rsid w:val="0069750D"/>
    <w:rsid w:val="006A0507"/>
    <w:rsid w:val="006A1631"/>
    <w:rsid w:val="006A3A99"/>
    <w:rsid w:val="006A3CDE"/>
    <w:rsid w:val="006A7B0C"/>
    <w:rsid w:val="006B1863"/>
    <w:rsid w:val="006B1A37"/>
    <w:rsid w:val="006B4BDA"/>
    <w:rsid w:val="006C5B91"/>
    <w:rsid w:val="006C5D70"/>
    <w:rsid w:val="006D321F"/>
    <w:rsid w:val="006D33B9"/>
    <w:rsid w:val="006D432F"/>
    <w:rsid w:val="006D4507"/>
    <w:rsid w:val="006D5320"/>
    <w:rsid w:val="006D7421"/>
    <w:rsid w:val="006E09F4"/>
    <w:rsid w:val="006E38B2"/>
    <w:rsid w:val="006E5810"/>
    <w:rsid w:val="006E71B4"/>
    <w:rsid w:val="006E75EC"/>
    <w:rsid w:val="006E7654"/>
    <w:rsid w:val="006F34EE"/>
    <w:rsid w:val="006F4CB8"/>
    <w:rsid w:val="006F4D33"/>
    <w:rsid w:val="0070095F"/>
    <w:rsid w:val="0070210F"/>
    <w:rsid w:val="007123CC"/>
    <w:rsid w:val="00712597"/>
    <w:rsid w:val="00717219"/>
    <w:rsid w:val="007174E7"/>
    <w:rsid w:val="007206FB"/>
    <w:rsid w:val="00723894"/>
    <w:rsid w:val="00725FF3"/>
    <w:rsid w:val="0072769C"/>
    <w:rsid w:val="00727FF4"/>
    <w:rsid w:val="00730C07"/>
    <w:rsid w:val="00732AAD"/>
    <w:rsid w:val="00732E0F"/>
    <w:rsid w:val="007342D5"/>
    <w:rsid w:val="00735E0C"/>
    <w:rsid w:val="00744BD7"/>
    <w:rsid w:val="007524E7"/>
    <w:rsid w:val="007534A9"/>
    <w:rsid w:val="00753F3A"/>
    <w:rsid w:val="00755444"/>
    <w:rsid w:val="00756F14"/>
    <w:rsid w:val="00757E35"/>
    <w:rsid w:val="007641B8"/>
    <w:rsid w:val="00767D43"/>
    <w:rsid w:val="007702BA"/>
    <w:rsid w:val="00784844"/>
    <w:rsid w:val="00787341"/>
    <w:rsid w:val="00791DEF"/>
    <w:rsid w:val="007974CB"/>
    <w:rsid w:val="007A0ADE"/>
    <w:rsid w:val="007A7C95"/>
    <w:rsid w:val="007B0DA8"/>
    <w:rsid w:val="007B3CAD"/>
    <w:rsid w:val="007B5AB3"/>
    <w:rsid w:val="007C0EFF"/>
    <w:rsid w:val="007C1285"/>
    <w:rsid w:val="007C1577"/>
    <w:rsid w:val="007C707F"/>
    <w:rsid w:val="007D427E"/>
    <w:rsid w:val="007D7486"/>
    <w:rsid w:val="007E0A9B"/>
    <w:rsid w:val="007E12A7"/>
    <w:rsid w:val="007E3BBC"/>
    <w:rsid w:val="007F1BA6"/>
    <w:rsid w:val="007F2B82"/>
    <w:rsid w:val="007F2FF7"/>
    <w:rsid w:val="007F30D4"/>
    <w:rsid w:val="007F3F91"/>
    <w:rsid w:val="008018FC"/>
    <w:rsid w:val="00802515"/>
    <w:rsid w:val="008043DF"/>
    <w:rsid w:val="008044C9"/>
    <w:rsid w:val="008057DC"/>
    <w:rsid w:val="00805C5D"/>
    <w:rsid w:val="00807B64"/>
    <w:rsid w:val="00815569"/>
    <w:rsid w:val="00817B86"/>
    <w:rsid w:val="00820107"/>
    <w:rsid w:val="008301B2"/>
    <w:rsid w:val="00831BE4"/>
    <w:rsid w:val="00831EE9"/>
    <w:rsid w:val="008370E9"/>
    <w:rsid w:val="00843374"/>
    <w:rsid w:val="00844EA1"/>
    <w:rsid w:val="008511CE"/>
    <w:rsid w:val="0085455D"/>
    <w:rsid w:val="0085456E"/>
    <w:rsid w:val="008579C3"/>
    <w:rsid w:val="00860443"/>
    <w:rsid w:val="008641B4"/>
    <w:rsid w:val="008642B7"/>
    <w:rsid w:val="008660B5"/>
    <w:rsid w:val="008708B1"/>
    <w:rsid w:val="00871CE5"/>
    <w:rsid w:val="00876AC7"/>
    <w:rsid w:val="00882D6E"/>
    <w:rsid w:val="0088342E"/>
    <w:rsid w:val="008879B5"/>
    <w:rsid w:val="00890817"/>
    <w:rsid w:val="00892601"/>
    <w:rsid w:val="00892B55"/>
    <w:rsid w:val="0089425B"/>
    <w:rsid w:val="008955FC"/>
    <w:rsid w:val="00897506"/>
    <w:rsid w:val="008A0C4F"/>
    <w:rsid w:val="008A3802"/>
    <w:rsid w:val="008A40AB"/>
    <w:rsid w:val="008A467D"/>
    <w:rsid w:val="008A7A65"/>
    <w:rsid w:val="008B2FBF"/>
    <w:rsid w:val="008B3F2B"/>
    <w:rsid w:val="008B7AED"/>
    <w:rsid w:val="008C18A8"/>
    <w:rsid w:val="008C3383"/>
    <w:rsid w:val="008C40B1"/>
    <w:rsid w:val="008C57B0"/>
    <w:rsid w:val="008C6CCC"/>
    <w:rsid w:val="008C7C8B"/>
    <w:rsid w:val="008D1B74"/>
    <w:rsid w:val="008D46FA"/>
    <w:rsid w:val="008D4D41"/>
    <w:rsid w:val="008D52AC"/>
    <w:rsid w:val="008E35C9"/>
    <w:rsid w:val="008F2FA9"/>
    <w:rsid w:val="008F5D45"/>
    <w:rsid w:val="008F6097"/>
    <w:rsid w:val="009022D9"/>
    <w:rsid w:val="00905048"/>
    <w:rsid w:val="00911F41"/>
    <w:rsid w:val="0091472D"/>
    <w:rsid w:val="009171AD"/>
    <w:rsid w:val="00921CDC"/>
    <w:rsid w:val="009223B2"/>
    <w:rsid w:val="0092263F"/>
    <w:rsid w:val="009258F9"/>
    <w:rsid w:val="00925B22"/>
    <w:rsid w:val="009401B5"/>
    <w:rsid w:val="0094296B"/>
    <w:rsid w:val="00943548"/>
    <w:rsid w:val="00944054"/>
    <w:rsid w:val="0094477E"/>
    <w:rsid w:val="009454FD"/>
    <w:rsid w:val="00945C1B"/>
    <w:rsid w:val="00947AE5"/>
    <w:rsid w:val="009503A6"/>
    <w:rsid w:val="009511FB"/>
    <w:rsid w:val="0095324A"/>
    <w:rsid w:val="00954551"/>
    <w:rsid w:val="00954C1C"/>
    <w:rsid w:val="009553AD"/>
    <w:rsid w:val="00955CB0"/>
    <w:rsid w:val="00957C3A"/>
    <w:rsid w:val="00960C48"/>
    <w:rsid w:val="009650D5"/>
    <w:rsid w:val="00970256"/>
    <w:rsid w:val="009706A7"/>
    <w:rsid w:val="00970765"/>
    <w:rsid w:val="0097099D"/>
    <w:rsid w:val="00970B83"/>
    <w:rsid w:val="00973CD1"/>
    <w:rsid w:val="00973F7C"/>
    <w:rsid w:val="0097442F"/>
    <w:rsid w:val="009753A1"/>
    <w:rsid w:val="0099415C"/>
    <w:rsid w:val="009A0C73"/>
    <w:rsid w:val="009A0E9F"/>
    <w:rsid w:val="009A1F13"/>
    <w:rsid w:val="009A3ADD"/>
    <w:rsid w:val="009A3F7A"/>
    <w:rsid w:val="009B66FC"/>
    <w:rsid w:val="009C1C57"/>
    <w:rsid w:val="009C7C03"/>
    <w:rsid w:val="009D20B4"/>
    <w:rsid w:val="009D3630"/>
    <w:rsid w:val="009D4DEB"/>
    <w:rsid w:val="009D6728"/>
    <w:rsid w:val="009D6DFD"/>
    <w:rsid w:val="009E25E2"/>
    <w:rsid w:val="009E4225"/>
    <w:rsid w:val="009E5AD3"/>
    <w:rsid w:val="009F19C8"/>
    <w:rsid w:val="009F1FA4"/>
    <w:rsid w:val="009F5B4D"/>
    <w:rsid w:val="009F5C1B"/>
    <w:rsid w:val="009F5C63"/>
    <w:rsid w:val="00A00762"/>
    <w:rsid w:val="00A03585"/>
    <w:rsid w:val="00A0687E"/>
    <w:rsid w:val="00A10ECB"/>
    <w:rsid w:val="00A10F5D"/>
    <w:rsid w:val="00A13544"/>
    <w:rsid w:val="00A13E5F"/>
    <w:rsid w:val="00A15119"/>
    <w:rsid w:val="00A1532B"/>
    <w:rsid w:val="00A2422C"/>
    <w:rsid w:val="00A25F87"/>
    <w:rsid w:val="00A272F4"/>
    <w:rsid w:val="00A2742A"/>
    <w:rsid w:val="00A30900"/>
    <w:rsid w:val="00A3540F"/>
    <w:rsid w:val="00A37C5B"/>
    <w:rsid w:val="00A40837"/>
    <w:rsid w:val="00A42429"/>
    <w:rsid w:val="00A46A87"/>
    <w:rsid w:val="00A46ED5"/>
    <w:rsid w:val="00A47BF2"/>
    <w:rsid w:val="00A5055E"/>
    <w:rsid w:val="00A50769"/>
    <w:rsid w:val="00A517C6"/>
    <w:rsid w:val="00A55188"/>
    <w:rsid w:val="00A552B3"/>
    <w:rsid w:val="00A60547"/>
    <w:rsid w:val="00A61B0E"/>
    <w:rsid w:val="00A62CFC"/>
    <w:rsid w:val="00A67376"/>
    <w:rsid w:val="00A7048F"/>
    <w:rsid w:val="00A764AF"/>
    <w:rsid w:val="00A84ACD"/>
    <w:rsid w:val="00A9372A"/>
    <w:rsid w:val="00A95992"/>
    <w:rsid w:val="00A96035"/>
    <w:rsid w:val="00AA14D4"/>
    <w:rsid w:val="00AA1D36"/>
    <w:rsid w:val="00AA1FF7"/>
    <w:rsid w:val="00AA57F5"/>
    <w:rsid w:val="00AA7243"/>
    <w:rsid w:val="00AB0C34"/>
    <w:rsid w:val="00AB1D93"/>
    <w:rsid w:val="00AB2872"/>
    <w:rsid w:val="00AB4A6D"/>
    <w:rsid w:val="00AB6A25"/>
    <w:rsid w:val="00AC2C60"/>
    <w:rsid w:val="00AC740B"/>
    <w:rsid w:val="00AD1BFB"/>
    <w:rsid w:val="00AD2B3A"/>
    <w:rsid w:val="00AD4627"/>
    <w:rsid w:val="00AD515D"/>
    <w:rsid w:val="00AE3BC1"/>
    <w:rsid w:val="00AE5EAE"/>
    <w:rsid w:val="00AF6012"/>
    <w:rsid w:val="00AF7129"/>
    <w:rsid w:val="00B01A73"/>
    <w:rsid w:val="00B16675"/>
    <w:rsid w:val="00B174AE"/>
    <w:rsid w:val="00B2056E"/>
    <w:rsid w:val="00B22DA3"/>
    <w:rsid w:val="00B2325C"/>
    <w:rsid w:val="00B30716"/>
    <w:rsid w:val="00B32518"/>
    <w:rsid w:val="00B343EE"/>
    <w:rsid w:val="00B36891"/>
    <w:rsid w:val="00B379F0"/>
    <w:rsid w:val="00B4174D"/>
    <w:rsid w:val="00B43FBD"/>
    <w:rsid w:val="00B471C6"/>
    <w:rsid w:val="00B50846"/>
    <w:rsid w:val="00B575E0"/>
    <w:rsid w:val="00B60E67"/>
    <w:rsid w:val="00B62775"/>
    <w:rsid w:val="00B650DB"/>
    <w:rsid w:val="00B664D3"/>
    <w:rsid w:val="00B76452"/>
    <w:rsid w:val="00B77F2E"/>
    <w:rsid w:val="00B8212D"/>
    <w:rsid w:val="00B8255D"/>
    <w:rsid w:val="00B826B2"/>
    <w:rsid w:val="00B82CA7"/>
    <w:rsid w:val="00B832D2"/>
    <w:rsid w:val="00B833E8"/>
    <w:rsid w:val="00B83689"/>
    <w:rsid w:val="00B84DDE"/>
    <w:rsid w:val="00B86E74"/>
    <w:rsid w:val="00B91B72"/>
    <w:rsid w:val="00B95918"/>
    <w:rsid w:val="00B95962"/>
    <w:rsid w:val="00B95D08"/>
    <w:rsid w:val="00B96ABA"/>
    <w:rsid w:val="00BA1766"/>
    <w:rsid w:val="00BA246A"/>
    <w:rsid w:val="00BA2753"/>
    <w:rsid w:val="00BA7C11"/>
    <w:rsid w:val="00BB0636"/>
    <w:rsid w:val="00BB1B1B"/>
    <w:rsid w:val="00BB6258"/>
    <w:rsid w:val="00BC0348"/>
    <w:rsid w:val="00BC1E27"/>
    <w:rsid w:val="00BC231F"/>
    <w:rsid w:val="00BC2F7C"/>
    <w:rsid w:val="00BC366A"/>
    <w:rsid w:val="00BC6531"/>
    <w:rsid w:val="00BC6C87"/>
    <w:rsid w:val="00BC7BBE"/>
    <w:rsid w:val="00BE0375"/>
    <w:rsid w:val="00BE1BB0"/>
    <w:rsid w:val="00BE29E3"/>
    <w:rsid w:val="00BE3A3A"/>
    <w:rsid w:val="00BE46CA"/>
    <w:rsid w:val="00BF104A"/>
    <w:rsid w:val="00BF478E"/>
    <w:rsid w:val="00BF5CDC"/>
    <w:rsid w:val="00BF6DFF"/>
    <w:rsid w:val="00C001A0"/>
    <w:rsid w:val="00C03033"/>
    <w:rsid w:val="00C0404A"/>
    <w:rsid w:val="00C04482"/>
    <w:rsid w:val="00C046AE"/>
    <w:rsid w:val="00C058D5"/>
    <w:rsid w:val="00C0697F"/>
    <w:rsid w:val="00C07510"/>
    <w:rsid w:val="00C07B3A"/>
    <w:rsid w:val="00C10443"/>
    <w:rsid w:val="00C20B7B"/>
    <w:rsid w:val="00C2214C"/>
    <w:rsid w:val="00C23B60"/>
    <w:rsid w:val="00C27030"/>
    <w:rsid w:val="00C2715D"/>
    <w:rsid w:val="00C30668"/>
    <w:rsid w:val="00C321F7"/>
    <w:rsid w:val="00C35E9B"/>
    <w:rsid w:val="00C36E68"/>
    <w:rsid w:val="00C372F7"/>
    <w:rsid w:val="00C408DA"/>
    <w:rsid w:val="00C40A40"/>
    <w:rsid w:val="00C41B42"/>
    <w:rsid w:val="00C4483B"/>
    <w:rsid w:val="00C45764"/>
    <w:rsid w:val="00C46898"/>
    <w:rsid w:val="00C47117"/>
    <w:rsid w:val="00C51235"/>
    <w:rsid w:val="00C5128E"/>
    <w:rsid w:val="00C514B3"/>
    <w:rsid w:val="00C53A58"/>
    <w:rsid w:val="00C53B85"/>
    <w:rsid w:val="00C55DFC"/>
    <w:rsid w:val="00C56EE1"/>
    <w:rsid w:val="00C579A9"/>
    <w:rsid w:val="00C61316"/>
    <w:rsid w:val="00C63BD6"/>
    <w:rsid w:val="00C72228"/>
    <w:rsid w:val="00C72771"/>
    <w:rsid w:val="00C76185"/>
    <w:rsid w:val="00C7628C"/>
    <w:rsid w:val="00C813FB"/>
    <w:rsid w:val="00C81CB0"/>
    <w:rsid w:val="00C84C40"/>
    <w:rsid w:val="00C85541"/>
    <w:rsid w:val="00C870A8"/>
    <w:rsid w:val="00C9023C"/>
    <w:rsid w:val="00C91B7D"/>
    <w:rsid w:val="00C91FA7"/>
    <w:rsid w:val="00C92052"/>
    <w:rsid w:val="00C9380B"/>
    <w:rsid w:val="00C93AC1"/>
    <w:rsid w:val="00C960A2"/>
    <w:rsid w:val="00C9764D"/>
    <w:rsid w:val="00CA2647"/>
    <w:rsid w:val="00CA574F"/>
    <w:rsid w:val="00CB0633"/>
    <w:rsid w:val="00CB134B"/>
    <w:rsid w:val="00CB5AAF"/>
    <w:rsid w:val="00CB7E2A"/>
    <w:rsid w:val="00CC3583"/>
    <w:rsid w:val="00CC4887"/>
    <w:rsid w:val="00CC4EF7"/>
    <w:rsid w:val="00CD01E8"/>
    <w:rsid w:val="00CD03CB"/>
    <w:rsid w:val="00CD3D32"/>
    <w:rsid w:val="00CE088D"/>
    <w:rsid w:val="00CE2068"/>
    <w:rsid w:val="00CE2AB9"/>
    <w:rsid w:val="00CE5DEE"/>
    <w:rsid w:val="00CF703C"/>
    <w:rsid w:val="00D00F2C"/>
    <w:rsid w:val="00D00F30"/>
    <w:rsid w:val="00D03EE9"/>
    <w:rsid w:val="00D05616"/>
    <w:rsid w:val="00D11907"/>
    <w:rsid w:val="00D11CC3"/>
    <w:rsid w:val="00D16046"/>
    <w:rsid w:val="00D207BB"/>
    <w:rsid w:val="00D20EA9"/>
    <w:rsid w:val="00D22FE0"/>
    <w:rsid w:val="00D3760F"/>
    <w:rsid w:val="00D378AF"/>
    <w:rsid w:val="00D426D1"/>
    <w:rsid w:val="00D45403"/>
    <w:rsid w:val="00D508B4"/>
    <w:rsid w:val="00D63680"/>
    <w:rsid w:val="00D63834"/>
    <w:rsid w:val="00D63E95"/>
    <w:rsid w:val="00D65117"/>
    <w:rsid w:val="00D70B0E"/>
    <w:rsid w:val="00D72384"/>
    <w:rsid w:val="00D804A7"/>
    <w:rsid w:val="00D80CA3"/>
    <w:rsid w:val="00D814CA"/>
    <w:rsid w:val="00D82E1C"/>
    <w:rsid w:val="00D84196"/>
    <w:rsid w:val="00D93BB3"/>
    <w:rsid w:val="00D96312"/>
    <w:rsid w:val="00D974E9"/>
    <w:rsid w:val="00DA2789"/>
    <w:rsid w:val="00DA2D00"/>
    <w:rsid w:val="00DA3701"/>
    <w:rsid w:val="00DB1682"/>
    <w:rsid w:val="00DB1B2F"/>
    <w:rsid w:val="00DB6E8E"/>
    <w:rsid w:val="00DC0B0D"/>
    <w:rsid w:val="00DC1D00"/>
    <w:rsid w:val="00DC24E1"/>
    <w:rsid w:val="00DC3AA0"/>
    <w:rsid w:val="00DC5A6F"/>
    <w:rsid w:val="00DC7C06"/>
    <w:rsid w:val="00DD45EC"/>
    <w:rsid w:val="00DD524B"/>
    <w:rsid w:val="00DD5959"/>
    <w:rsid w:val="00DD778B"/>
    <w:rsid w:val="00DE0051"/>
    <w:rsid w:val="00DE04AA"/>
    <w:rsid w:val="00DE2FDE"/>
    <w:rsid w:val="00DE3C6F"/>
    <w:rsid w:val="00DF1796"/>
    <w:rsid w:val="00DF3068"/>
    <w:rsid w:val="00DF335A"/>
    <w:rsid w:val="00DF496F"/>
    <w:rsid w:val="00E00B2B"/>
    <w:rsid w:val="00E02118"/>
    <w:rsid w:val="00E028A3"/>
    <w:rsid w:val="00E030B7"/>
    <w:rsid w:val="00E10342"/>
    <w:rsid w:val="00E1238A"/>
    <w:rsid w:val="00E124D5"/>
    <w:rsid w:val="00E15002"/>
    <w:rsid w:val="00E16937"/>
    <w:rsid w:val="00E16A6A"/>
    <w:rsid w:val="00E239A6"/>
    <w:rsid w:val="00E242EE"/>
    <w:rsid w:val="00E276A2"/>
    <w:rsid w:val="00E3758F"/>
    <w:rsid w:val="00E424E3"/>
    <w:rsid w:val="00E43F9B"/>
    <w:rsid w:val="00E451D4"/>
    <w:rsid w:val="00E46018"/>
    <w:rsid w:val="00E50D1F"/>
    <w:rsid w:val="00E542FB"/>
    <w:rsid w:val="00E62D11"/>
    <w:rsid w:val="00E71255"/>
    <w:rsid w:val="00E71453"/>
    <w:rsid w:val="00E735C9"/>
    <w:rsid w:val="00E738F3"/>
    <w:rsid w:val="00E81B1A"/>
    <w:rsid w:val="00E8325C"/>
    <w:rsid w:val="00E84BE7"/>
    <w:rsid w:val="00E84E2A"/>
    <w:rsid w:val="00E853D1"/>
    <w:rsid w:val="00E86A7B"/>
    <w:rsid w:val="00E8781E"/>
    <w:rsid w:val="00E9265B"/>
    <w:rsid w:val="00E94B3F"/>
    <w:rsid w:val="00E97A5A"/>
    <w:rsid w:val="00EA5260"/>
    <w:rsid w:val="00EB2CA2"/>
    <w:rsid w:val="00EB4F03"/>
    <w:rsid w:val="00EB5543"/>
    <w:rsid w:val="00EC087F"/>
    <w:rsid w:val="00EC13B9"/>
    <w:rsid w:val="00ED043C"/>
    <w:rsid w:val="00ED2BD5"/>
    <w:rsid w:val="00ED4D4B"/>
    <w:rsid w:val="00ED53A7"/>
    <w:rsid w:val="00ED54FF"/>
    <w:rsid w:val="00EF26C6"/>
    <w:rsid w:val="00EF53D8"/>
    <w:rsid w:val="00EF5E86"/>
    <w:rsid w:val="00EF68ED"/>
    <w:rsid w:val="00EF79F0"/>
    <w:rsid w:val="00F02164"/>
    <w:rsid w:val="00F024D2"/>
    <w:rsid w:val="00F06238"/>
    <w:rsid w:val="00F10030"/>
    <w:rsid w:val="00F12A0B"/>
    <w:rsid w:val="00F233FF"/>
    <w:rsid w:val="00F26DEC"/>
    <w:rsid w:val="00F27541"/>
    <w:rsid w:val="00F31397"/>
    <w:rsid w:val="00F33964"/>
    <w:rsid w:val="00F42283"/>
    <w:rsid w:val="00F45024"/>
    <w:rsid w:val="00F4569F"/>
    <w:rsid w:val="00F457B3"/>
    <w:rsid w:val="00F479AC"/>
    <w:rsid w:val="00F5029F"/>
    <w:rsid w:val="00F51E21"/>
    <w:rsid w:val="00F52875"/>
    <w:rsid w:val="00F54149"/>
    <w:rsid w:val="00F541E5"/>
    <w:rsid w:val="00F61987"/>
    <w:rsid w:val="00F6789F"/>
    <w:rsid w:val="00F700A4"/>
    <w:rsid w:val="00F71CE8"/>
    <w:rsid w:val="00F724B7"/>
    <w:rsid w:val="00F75382"/>
    <w:rsid w:val="00F75B67"/>
    <w:rsid w:val="00F8326C"/>
    <w:rsid w:val="00F86E15"/>
    <w:rsid w:val="00F8714D"/>
    <w:rsid w:val="00F87F20"/>
    <w:rsid w:val="00F94A23"/>
    <w:rsid w:val="00F960AF"/>
    <w:rsid w:val="00FA3DCF"/>
    <w:rsid w:val="00FB10B7"/>
    <w:rsid w:val="00FB3BD4"/>
    <w:rsid w:val="00FB41AF"/>
    <w:rsid w:val="00FB4CBD"/>
    <w:rsid w:val="00FB69B4"/>
    <w:rsid w:val="00FC2D49"/>
    <w:rsid w:val="00FC579B"/>
    <w:rsid w:val="00FC5803"/>
    <w:rsid w:val="00FD22B2"/>
    <w:rsid w:val="00FD2A75"/>
    <w:rsid w:val="00FE3AE4"/>
    <w:rsid w:val="00FE7D95"/>
    <w:rsid w:val="00FF0995"/>
    <w:rsid w:val="00FF40F4"/>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051A5"/>
  <w14:defaultImageDpi w14:val="96"/>
  <w15:docId w15:val="{D8D3EE53-E1C1-4AFD-9781-8B4D06A7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spacing w:after="0" w:line="240" w:lineRule="auto"/>
      <w:ind w:left="1080" w:hanging="360"/>
      <w:jc w:val="both"/>
    </w:pPr>
    <w:rPr>
      <w:rFonts w:ascii="Calibri" w:hAnsi="Calibri" w:cs="Calibri"/>
      <w:sz w:val="24"/>
      <w:szCs w:val="24"/>
    </w:rPr>
  </w:style>
  <w:style w:type="paragraph" w:customStyle="1" w:styleId="L3-2">
    <w:name w:val="L3-2"/>
    <w:uiPriority w:val="99"/>
    <w:pPr>
      <w:widowControl w:val="0"/>
      <w:autoSpaceDE w:val="0"/>
      <w:autoSpaceDN w:val="0"/>
      <w:adjustRightInd w:val="0"/>
      <w:spacing w:after="0" w:line="240" w:lineRule="auto"/>
      <w:ind w:left="1800" w:hanging="360"/>
      <w:jc w:val="both"/>
    </w:pPr>
    <w:rPr>
      <w:rFonts w:ascii="Calibri" w:hAnsi="Calibri" w:cs="Calibri"/>
      <w:sz w:val="24"/>
      <w:szCs w:val="24"/>
    </w:rPr>
  </w:style>
  <w:style w:type="paragraph" w:customStyle="1" w:styleId="L3-3">
    <w:name w:val="L3-3"/>
    <w:uiPriority w:val="99"/>
    <w:pPr>
      <w:widowControl w:val="0"/>
      <w:autoSpaceDE w:val="0"/>
      <w:autoSpaceDN w:val="0"/>
      <w:adjustRightInd w:val="0"/>
      <w:spacing w:after="0" w:line="240" w:lineRule="auto"/>
      <w:ind w:left="2520" w:hanging="360"/>
      <w:jc w:val="both"/>
    </w:pPr>
    <w:rPr>
      <w:rFonts w:ascii="Calibri" w:hAnsi="Calibri" w:cs="Calibri"/>
      <w:sz w:val="24"/>
      <w:szCs w:val="24"/>
    </w:rPr>
  </w:style>
  <w:style w:type="paragraph" w:customStyle="1" w:styleId="L3-4">
    <w:name w:val="L3-4"/>
    <w:uiPriority w:val="99"/>
    <w:pPr>
      <w:widowControl w:val="0"/>
      <w:autoSpaceDE w:val="0"/>
      <w:autoSpaceDN w:val="0"/>
      <w:adjustRightInd w:val="0"/>
      <w:spacing w:after="0" w:line="240" w:lineRule="auto"/>
      <w:ind w:left="3240" w:hanging="360"/>
      <w:jc w:val="both"/>
    </w:pPr>
    <w:rPr>
      <w:rFonts w:ascii="Calibri" w:hAnsi="Calibri" w:cs="Calibri"/>
      <w:sz w:val="24"/>
      <w:szCs w:val="24"/>
    </w:rPr>
  </w:style>
  <w:style w:type="paragraph" w:customStyle="1" w:styleId="L3-5">
    <w:name w:val="L3-5"/>
    <w:uiPriority w:val="99"/>
    <w:pPr>
      <w:widowControl w:val="0"/>
      <w:autoSpaceDE w:val="0"/>
      <w:autoSpaceDN w:val="0"/>
      <w:adjustRightInd w:val="0"/>
      <w:spacing w:after="0" w:line="240" w:lineRule="auto"/>
      <w:ind w:left="3960" w:hanging="360"/>
      <w:jc w:val="both"/>
    </w:pPr>
    <w:rPr>
      <w:rFonts w:ascii="Calibri" w:hAnsi="Calibri" w:cs="Calibri"/>
      <w:sz w:val="24"/>
      <w:szCs w:val="24"/>
    </w:rPr>
  </w:style>
  <w:style w:type="paragraph" w:customStyle="1" w:styleId="L3-6">
    <w:name w:val="L3-6"/>
    <w:uiPriority w:val="99"/>
    <w:pPr>
      <w:widowControl w:val="0"/>
      <w:autoSpaceDE w:val="0"/>
      <w:autoSpaceDN w:val="0"/>
      <w:adjustRightInd w:val="0"/>
      <w:spacing w:after="0" w:line="240" w:lineRule="auto"/>
      <w:ind w:left="4680" w:hanging="360"/>
      <w:jc w:val="both"/>
    </w:pPr>
    <w:rPr>
      <w:rFonts w:ascii="Calibri" w:hAnsi="Calibri" w:cs="Calibri"/>
      <w:sz w:val="24"/>
      <w:szCs w:val="24"/>
    </w:rPr>
  </w:style>
  <w:style w:type="paragraph" w:customStyle="1" w:styleId="L3-7">
    <w:name w:val="L3-7"/>
    <w:uiPriority w:val="99"/>
    <w:pPr>
      <w:widowControl w:val="0"/>
      <w:autoSpaceDE w:val="0"/>
      <w:autoSpaceDN w:val="0"/>
      <w:adjustRightInd w:val="0"/>
      <w:spacing w:after="0" w:line="240" w:lineRule="auto"/>
      <w:ind w:left="5400" w:hanging="360"/>
      <w:jc w:val="both"/>
    </w:pPr>
    <w:rPr>
      <w:rFonts w:ascii="Calibri" w:hAnsi="Calibri" w:cs="Calibri"/>
      <w:sz w:val="24"/>
      <w:szCs w:val="24"/>
    </w:rPr>
  </w:style>
  <w:style w:type="paragraph" w:customStyle="1" w:styleId="L3-8">
    <w:name w:val="L3-8"/>
    <w:uiPriority w:val="99"/>
    <w:pPr>
      <w:widowControl w:val="0"/>
      <w:autoSpaceDE w:val="0"/>
      <w:autoSpaceDN w:val="0"/>
      <w:adjustRightInd w:val="0"/>
      <w:spacing w:after="0" w:line="240" w:lineRule="auto"/>
      <w:ind w:left="6120" w:hanging="360"/>
      <w:jc w:val="both"/>
    </w:pPr>
    <w:rPr>
      <w:rFonts w:ascii="Calibri" w:hAnsi="Calibri" w:cs="Calibri"/>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rFonts w:ascii="Calibri" w:hAnsi="Calibri" w:cs="Calibri"/>
    </w:rPr>
  </w:style>
  <w:style w:type="paragraph" w:customStyle="1" w:styleId="L3-9">
    <w:name w:val="L3-9"/>
    <w:uiPriority w:val="99"/>
    <w:pPr>
      <w:widowControl w:val="0"/>
      <w:autoSpaceDE w:val="0"/>
      <w:autoSpaceDN w:val="0"/>
      <w:adjustRightInd w:val="0"/>
      <w:spacing w:after="0" w:line="240" w:lineRule="auto"/>
      <w:ind w:left="6840" w:hanging="360"/>
      <w:jc w:val="both"/>
    </w:pPr>
    <w:rPr>
      <w:rFonts w:ascii="Calibri" w:hAnsi="Calibri" w:cs="Calibri"/>
      <w:sz w:val="24"/>
      <w:szCs w:val="24"/>
    </w:rPr>
  </w:style>
  <w:style w:type="paragraph" w:styleId="Header">
    <w:name w:val="header"/>
    <w:basedOn w:val="Normal"/>
    <w:link w:val="HeaderChar"/>
    <w:uiPriority w:val="99"/>
    <w:unhideWhenUsed/>
    <w:rsid w:val="00F6789F"/>
    <w:pPr>
      <w:tabs>
        <w:tab w:val="center" w:pos="4680"/>
        <w:tab w:val="right" w:pos="9360"/>
      </w:tabs>
    </w:pPr>
  </w:style>
  <w:style w:type="character" w:customStyle="1" w:styleId="HeaderChar">
    <w:name w:val="Header Char"/>
    <w:basedOn w:val="DefaultParagraphFont"/>
    <w:link w:val="Header"/>
    <w:uiPriority w:val="99"/>
    <w:locked/>
    <w:rsid w:val="00F6789F"/>
    <w:rPr>
      <w:rFonts w:ascii="Times New Roman" w:hAnsi="Times New Roman" w:cs="Times New Roman"/>
      <w:sz w:val="20"/>
      <w:szCs w:val="20"/>
    </w:rPr>
  </w:style>
  <w:style w:type="paragraph" w:styleId="Footer">
    <w:name w:val="footer"/>
    <w:basedOn w:val="Normal"/>
    <w:link w:val="FooterChar"/>
    <w:uiPriority w:val="99"/>
    <w:unhideWhenUsed/>
    <w:rsid w:val="00F6789F"/>
    <w:pPr>
      <w:tabs>
        <w:tab w:val="center" w:pos="4680"/>
        <w:tab w:val="right" w:pos="9360"/>
      </w:tabs>
    </w:pPr>
  </w:style>
  <w:style w:type="character" w:customStyle="1" w:styleId="FooterChar">
    <w:name w:val="Footer Char"/>
    <w:basedOn w:val="DefaultParagraphFont"/>
    <w:link w:val="Footer"/>
    <w:uiPriority w:val="99"/>
    <w:locked/>
    <w:rsid w:val="00F6789F"/>
    <w:rPr>
      <w:rFonts w:ascii="Times New Roman" w:hAnsi="Times New Roman" w:cs="Times New Roman"/>
      <w:sz w:val="20"/>
      <w:szCs w:val="20"/>
    </w:rPr>
  </w:style>
  <w:style w:type="paragraph" w:styleId="EndnoteText">
    <w:name w:val="endnote text"/>
    <w:basedOn w:val="Normal"/>
    <w:link w:val="EndnoteTextChar"/>
    <w:uiPriority w:val="99"/>
    <w:unhideWhenUsed/>
    <w:rsid w:val="005807CB"/>
  </w:style>
  <w:style w:type="character" w:customStyle="1" w:styleId="EndnoteTextChar">
    <w:name w:val="Endnote Text Char"/>
    <w:basedOn w:val="DefaultParagraphFont"/>
    <w:link w:val="EndnoteText"/>
    <w:uiPriority w:val="99"/>
    <w:rsid w:val="005807CB"/>
    <w:rPr>
      <w:rFonts w:ascii="Times New Roman" w:hAnsi="Times New Roman"/>
      <w:sz w:val="20"/>
      <w:szCs w:val="20"/>
    </w:rPr>
  </w:style>
  <w:style w:type="character" w:styleId="EndnoteReference">
    <w:name w:val="endnote reference"/>
    <w:basedOn w:val="DefaultParagraphFont"/>
    <w:uiPriority w:val="99"/>
    <w:semiHidden/>
    <w:unhideWhenUsed/>
    <w:rsid w:val="005807CB"/>
    <w:rPr>
      <w:vertAlign w:val="superscript"/>
    </w:rPr>
  </w:style>
  <w:style w:type="paragraph" w:styleId="Revision">
    <w:name w:val="Revision"/>
    <w:hidden/>
    <w:uiPriority w:val="99"/>
    <w:semiHidden/>
    <w:rsid w:val="00C41B42"/>
    <w:pPr>
      <w:spacing w:after="0" w:line="240" w:lineRule="auto"/>
    </w:pPr>
    <w:rPr>
      <w:rFonts w:ascii="Times New Roman" w:hAnsi="Times New Roman"/>
      <w:sz w:val="20"/>
      <w:szCs w:val="20"/>
    </w:rPr>
  </w:style>
  <w:style w:type="character" w:styleId="CommentReference">
    <w:name w:val="annotation reference"/>
    <w:basedOn w:val="DefaultParagraphFont"/>
    <w:uiPriority w:val="99"/>
    <w:semiHidden/>
    <w:unhideWhenUsed/>
    <w:rsid w:val="00C41B42"/>
    <w:rPr>
      <w:sz w:val="16"/>
      <w:szCs w:val="16"/>
    </w:rPr>
  </w:style>
  <w:style w:type="paragraph" w:styleId="CommentText">
    <w:name w:val="annotation text"/>
    <w:basedOn w:val="Normal"/>
    <w:link w:val="CommentTextChar"/>
    <w:uiPriority w:val="99"/>
    <w:unhideWhenUsed/>
    <w:rsid w:val="00C41B42"/>
  </w:style>
  <w:style w:type="character" w:customStyle="1" w:styleId="CommentTextChar">
    <w:name w:val="Comment Text Char"/>
    <w:basedOn w:val="DefaultParagraphFont"/>
    <w:link w:val="CommentText"/>
    <w:uiPriority w:val="99"/>
    <w:rsid w:val="00C41B4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41B42"/>
    <w:rPr>
      <w:b/>
      <w:bCs/>
    </w:rPr>
  </w:style>
  <w:style w:type="character" w:customStyle="1" w:styleId="CommentSubjectChar">
    <w:name w:val="Comment Subject Char"/>
    <w:basedOn w:val="CommentTextChar"/>
    <w:link w:val="CommentSubject"/>
    <w:uiPriority w:val="99"/>
    <w:semiHidden/>
    <w:rsid w:val="00C41B42"/>
    <w:rPr>
      <w:rFonts w:ascii="Times New Roman" w:hAnsi="Times New Roman"/>
      <w:b/>
      <w:bCs/>
      <w:sz w:val="20"/>
      <w:szCs w:val="20"/>
    </w:rPr>
  </w:style>
  <w:style w:type="character" w:styleId="Hyperlink">
    <w:name w:val="Hyperlink"/>
    <w:basedOn w:val="DefaultParagraphFont"/>
    <w:uiPriority w:val="99"/>
    <w:unhideWhenUsed/>
    <w:rsid w:val="002C14BB"/>
    <w:rPr>
      <w:color w:val="0563C1" w:themeColor="hyperlink"/>
      <w:u w:val="single"/>
    </w:rPr>
  </w:style>
  <w:style w:type="character" w:styleId="UnresolvedMention">
    <w:name w:val="Unresolved Mention"/>
    <w:basedOn w:val="DefaultParagraphFont"/>
    <w:uiPriority w:val="99"/>
    <w:semiHidden/>
    <w:unhideWhenUsed/>
    <w:rsid w:val="002C14BB"/>
    <w:rPr>
      <w:color w:val="605E5C"/>
      <w:shd w:val="clear" w:color="auto" w:fill="E1DFDD"/>
    </w:rPr>
  </w:style>
  <w:style w:type="character" w:styleId="Emphasis">
    <w:name w:val="Emphasis"/>
    <w:basedOn w:val="DefaultParagraphFont"/>
    <w:uiPriority w:val="20"/>
    <w:qFormat/>
    <w:rsid w:val="009B66FC"/>
    <w:rPr>
      <w:i/>
      <w:iCs/>
    </w:rPr>
  </w:style>
  <w:style w:type="character" w:customStyle="1" w:styleId="costarpage">
    <w:name w:val="co_starpage"/>
    <w:basedOn w:val="DefaultParagraphFont"/>
    <w:rsid w:val="00844EA1"/>
  </w:style>
  <w:style w:type="paragraph" w:styleId="ListParagraph">
    <w:name w:val="List Paragraph"/>
    <w:basedOn w:val="Normal"/>
    <w:uiPriority w:val="34"/>
    <w:qFormat/>
    <w:rsid w:val="00F7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48797">
      <w:bodyDiv w:val="1"/>
      <w:marLeft w:val="0"/>
      <w:marRight w:val="0"/>
      <w:marTop w:val="0"/>
      <w:marBottom w:val="0"/>
      <w:divBdr>
        <w:top w:val="none" w:sz="0" w:space="0" w:color="auto"/>
        <w:left w:val="none" w:sz="0" w:space="0" w:color="auto"/>
        <w:bottom w:val="none" w:sz="0" w:space="0" w:color="auto"/>
        <w:right w:val="none" w:sz="0" w:space="0" w:color="auto"/>
      </w:divBdr>
      <w:divsChild>
        <w:div w:id="268004403">
          <w:marLeft w:val="0"/>
          <w:marRight w:val="0"/>
          <w:marTop w:val="0"/>
          <w:marBottom w:val="0"/>
          <w:divBdr>
            <w:top w:val="none" w:sz="0" w:space="0" w:color="3D3D3D"/>
            <w:left w:val="none" w:sz="0" w:space="0" w:color="3D3D3D"/>
            <w:bottom w:val="none" w:sz="0" w:space="0" w:color="3D3D3D"/>
            <w:right w:val="none" w:sz="0" w:space="0" w:color="3D3D3D"/>
          </w:divBdr>
          <w:divsChild>
            <w:div w:id="17596806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3333477">
      <w:bodyDiv w:val="1"/>
      <w:marLeft w:val="0"/>
      <w:marRight w:val="0"/>
      <w:marTop w:val="0"/>
      <w:marBottom w:val="0"/>
      <w:divBdr>
        <w:top w:val="none" w:sz="0" w:space="0" w:color="auto"/>
        <w:left w:val="none" w:sz="0" w:space="0" w:color="auto"/>
        <w:bottom w:val="none" w:sz="0" w:space="0" w:color="auto"/>
        <w:right w:val="none" w:sz="0" w:space="0" w:color="auto"/>
      </w:divBdr>
      <w:divsChild>
        <w:div w:id="568809665">
          <w:marLeft w:val="0"/>
          <w:marRight w:val="0"/>
          <w:marTop w:val="0"/>
          <w:marBottom w:val="0"/>
          <w:divBdr>
            <w:top w:val="none" w:sz="0" w:space="0" w:color="3D3D3D"/>
            <w:left w:val="none" w:sz="0" w:space="0" w:color="3D3D3D"/>
            <w:bottom w:val="none" w:sz="0" w:space="0" w:color="3D3D3D"/>
            <w:right w:val="none" w:sz="0" w:space="0" w:color="3D3D3D"/>
          </w:divBdr>
          <w:divsChild>
            <w:div w:id="11731104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0547320">
      <w:bodyDiv w:val="1"/>
      <w:marLeft w:val="0"/>
      <w:marRight w:val="0"/>
      <w:marTop w:val="0"/>
      <w:marBottom w:val="0"/>
      <w:divBdr>
        <w:top w:val="none" w:sz="0" w:space="0" w:color="auto"/>
        <w:left w:val="none" w:sz="0" w:space="0" w:color="auto"/>
        <w:bottom w:val="none" w:sz="0" w:space="0" w:color="auto"/>
        <w:right w:val="none" w:sz="0" w:space="0" w:color="auto"/>
      </w:divBdr>
      <w:divsChild>
        <w:div w:id="84763604">
          <w:marLeft w:val="0"/>
          <w:marRight w:val="0"/>
          <w:marTop w:val="0"/>
          <w:marBottom w:val="0"/>
          <w:divBdr>
            <w:top w:val="none" w:sz="0" w:space="0" w:color="auto"/>
            <w:left w:val="none" w:sz="0" w:space="0" w:color="auto"/>
            <w:bottom w:val="none" w:sz="0" w:space="0" w:color="auto"/>
            <w:right w:val="none" w:sz="0" w:space="0" w:color="auto"/>
          </w:divBdr>
        </w:div>
        <w:div w:id="183634645">
          <w:marLeft w:val="0"/>
          <w:marRight w:val="0"/>
          <w:marTop w:val="0"/>
          <w:marBottom w:val="0"/>
          <w:divBdr>
            <w:top w:val="none" w:sz="0" w:space="0" w:color="auto"/>
            <w:left w:val="none" w:sz="0" w:space="0" w:color="auto"/>
            <w:bottom w:val="none" w:sz="0" w:space="0" w:color="auto"/>
            <w:right w:val="none" w:sz="0" w:space="0" w:color="auto"/>
          </w:divBdr>
          <w:divsChild>
            <w:div w:id="1740396724">
              <w:marLeft w:val="0"/>
              <w:marRight w:val="0"/>
              <w:marTop w:val="0"/>
              <w:marBottom w:val="0"/>
              <w:divBdr>
                <w:top w:val="none" w:sz="0" w:space="0" w:color="auto"/>
                <w:left w:val="none" w:sz="0" w:space="0" w:color="auto"/>
                <w:bottom w:val="none" w:sz="0" w:space="0" w:color="auto"/>
                <w:right w:val="none" w:sz="0" w:space="0" w:color="auto"/>
              </w:divBdr>
            </w:div>
          </w:divsChild>
        </w:div>
        <w:div w:id="1871337100">
          <w:marLeft w:val="0"/>
          <w:marRight w:val="0"/>
          <w:marTop w:val="0"/>
          <w:marBottom w:val="0"/>
          <w:divBdr>
            <w:top w:val="none" w:sz="0" w:space="0" w:color="auto"/>
            <w:left w:val="none" w:sz="0" w:space="0" w:color="auto"/>
            <w:bottom w:val="none" w:sz="0" w:space="0" w:color="auto"/>
            <w:right w:val="none" w:sz="0" w:space="0" w:color="auto"/>
          </w:divBdr>
          <w:divsChild>
            <w:div w:id="16043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3886">
      <w:bodyDiv w:val="1"/>
      <w:marLeft w:val="0"/>
      <w:marRight w:val="0"/>
      <w:marTop w:val="0"/>
      <w:marBottom w:val="0"/>
      <w:divBdr>
        <w:top w:val="none" w:sz="0" w:space="0" w:color="auto"/>
        <w:left w:val="none" w:sz="0" w:space="0" w:color="auto"/>
        <w:bottom w:val="none" w:sz="0" w:space="0" w:color="auto"/>
        <w:right w:val="none" w:sz="0" w:space="0" w:color="auto"/>
      </w:divBdr>
      <w:divsChild>
        <w:div w:id="211314052">
          <w:marLeft w:val="0"/>
          <w:marRight w:val="0"/>
          <w:marTop w:val="0"/>
          <w:marBottom w:val="0"/>
          <w:divBdr>
            <w:top w:val="none" w:sz="0" w:space="0" w:color="auto"/>
            <w:left w:val="none" w:sz="0" w:space="0" w:color="auto"/>
            <w:bottom w:val="none" w:sz="0" w:space="0" w:color="auto"/>
            <w:right w:val="none" w:sz="0" w:space="0" w:color="auto"/>
          </w:divBdr>
          <w:divsChild>
            <w:div w:id="1054885836">
              <w:marLeft w:val="0"/>
              <w:marRight w:val="0"/>
              <w:marTop w:val="0"/>
              <w:marBottom w:val="0"/>
              <w:divBdr>
                <w:top w:val="none" w:sz="0" w:space="0" w:color="auto"/>
                <w:left w:val="none" w:sz="0" w:space="0" w:color="auto"/>
                <w:bottom w:val="none" w:sz="0" w:space="0" w:color="auto"/>
                <w:right w:val="none" w:sz="0" w:space="0" w:color="auto"/>
              </w:divBdr>
              <w:divsChild>
                <w:div w:id="4017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9137">
      <w:bodyDiv w:val="1"/>
      <w:marLeft w:val="0"/>
      <w:marRight w:val="0"/>
      <w:marTop w:val="0"/>
      <w:marBottom w:val="0"/>
      <w:divBdr>
        <w:top w:val="none" w:sz="0" w:space="0" w:color="auto"/>
        <w:left w:val="none" w:sz="0" w:space="0" w:color="auto"/>
        <w:bottom w:val="none" w:sz="0" w:space="0" w:color="auto"/>
        <w:right w:val="none" w:sz="0" w:space="0" w:color="auto"/>
      </w:divBdr>
      <w:divsChild>
        <w:div w:id="1096366518">
          <w:marLeft w:val="0"/>
          <w:marRight w:val="0"/>
          <w:marTop w:val="0"/>
          <w:marBottom w:val="0"/>
          <w:divBdr>
            <w:top w:val="none" w:sz="0" w:space="0" w:color="3D3D3D"/>
            <w:left w:val="none" w:sz="0" w:space="0" w:color="3D3D3D"/>
            <w:bottom w:val="none" w:sz="0" w:space="0" w:color="3D3D3D"/>
            <w:right w:val="none" w:sz="0" w:space="0" w:color="3D3D3D"/>
          </w:divBdr>
          <w:divsChild>
            <w:div w:id="104772928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15127264">
      <w:bodyDiv w:val="1"/>
      <w:marLeft w:val="0"/>
      <w:marRight w:val="0"/>
      <w:marTop w:val="0"/>
      <w:marBottom w:val="0"/>
      <w:divBdr>
        <w:top w:val="none" w:sz="0" w:space="0" w:color="auto"/>
        <w:left w:val="none" w:sz="0" w:space="0" w:color="auto"/>
        <w:bottom w:val="none" w:sz="0" w:space="0" w:color="auto"/>
        <w:right w:val="none" w:sz="0" w:space="0" w:color="auto"/>
      </w:divBdr>
    </w:div>
    <w:div w:id="543907433">
      <w:bodyDiv w:val="1"/>
      <w:marLeft w:val="0"/>
      <w:marRight w:val="0"/>
      <w:marTop w:val="0"/>
      <w:marBottom w:val="0"/>
      <w:divBdr>
        <w:top w:val="none" w:sz="0" w:space="0" w:color="auto"/>
        <w:left w:val="none" w:sz="0" w:space="0" w:color="auto"/>
        <w:bottom w:val="none" w:sz="0" w:space="0" w:color="auto"/>
        <w:right w:val="none" w:sz="0" w:space="0" w:color="auto"/>
      </w:divBdr>
      <w:divsChild>
        <w:div w:id="1393770861">
          <w:marLeft w:val="0"/>
          <w:marRight w:val="0"/>
          <w:marTop w:val="0"/>
          <w:marBottom w:val="0"/>
          <w:divBdr>
            <w:top w:val="none" w:sz="0" w:space="0" w:color="3D3D3D"/>
            <w:left w:val="none" w:sz="0" w:space="0" w:color="3D3D3D"/>
            <w:bottom w:val="none" w:sz="0" w:space="0" w:color="3D3D3D"/>
            <w:right w:val="none" w:sz="0" w:space="0" w:color="3D3D3D"/>
          </w:divBdr>
          <w:divsChild>
            <w:div w:id="5426682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12245459">
      <w:bodyDiv w:val="1"/>
      <w:marLeft w:val="0"/>
      <w:marRight w:val="0"/>
      <w:marTop w:val="0"/>
      <w:marBottom w:val="0"/>
      <w:divBdr>
        <w:top w:val="none" w:sz="0" w:space="0" w:color="auto"/>
        <w:left w:val="none" w:sz="0" w:space="0" w:color="auto"/>
        <w:bottom w:val="none" w:sz="0" w:space="0" w:color="auto"/>
        <w:right w:val="none" w:sz="0" w:space="0" w:color="auto"/>
      </w:divBdr>
      <w:divsChild>
        <w:div w:id="425879480">
          <w:marLeft w:val="0"/>
          <w:marRight w:val="0"/>
          <w:marTop w:val="0"/>
          <w:marBottom w:val="0"/>
          <w:divBdr>
            <w:top w:val="none" w:sz="0" w:space="0" w:color="auto"/>
            <w:left w:val="none" w:sz="0" w:space="0" w:color="auto"/>
            <w:bottom w:val="none" w:sz="0" w:space="0" w:color="auto"/>
            <w:right w:val="none" w:sz="0" w:space="0" w:color="auto"/>
          </w:divBdr>
          <w:divsChild>
            <w:div w:id="1613704115">
              <w:marLeft w:val="0"/>
              <w:marRight w:val="0"/>
              <w:marTop w:val="0"/>
              <w:marBottom w:val="0"/>
              <w:divBdr>
                <w:top w:val="none" w:sz="0" w:space="0" w:color="auto"/>
                <w:left w:val="none" w:sz="0" w:space="0" w:color="auto"/>
                <w:bottom w:val="none" w:sz="0" w:space="0" w:color="auto"/>
                <w:right w:val="none" w:sz="0" w:space="0" w:color="auto"/>
              </w:divBdr>
            </w:div>
          </w:divsChild>
        </w:div>
        <w:div w:id="1573004812">
          <w:marLeft w:val="0"/>
          <w:marRight w:val="0"/>
          <w:marTop w:val="0"/>
          <w:marBottom w:val="0"/>
          <w:divBdr>
            <w:top w:val="none" w:sz="0" w:space="0" w:color="auto"/>
            <w:left w:val="none" w:sz="0" w:space="0" w:color="auto"/>
            <w:bottom w:val="none" w:sz="0" w:space="0" w:color="auto"/>
            <w:right w:val="none" w:sz="0" w:space="0" w:color="auto"/>
          </w:divBdr>
          <w:divsChild>
            <w:div w:id="7327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39942">
      <w:bodyDiv w:val="1"/>
      <w:marLeft w:val="0"/>
      <w:marRight w:val="0"/>
      <w:marTop w:val="0"/>
      <w:marBottom w:val="0"/>
      <w:divBdr>
        <w:top w:val="none" w:sz="0" w:space="0" w:color="auto"/>
        <w:left w:val="none" w:sz="0" w:space="0" w:color="auto"/>
        <w:bottom w:val="none" w:sz="0" w:space="0" w:color="auto"/>
        <w:right w:val="none" w:sz="0" w:space="0" w:color="auto"/>
      </w:divBdr>
    </w:div>
    <w:div w:id="936791418">
      <w:bodyDiv w:val="1"/>
      <w:marLeft w:val="0"/>
      <w:marRight w:val="0"/>
      <w:marTop w:val="0"/>
      <w:marBottom w:val="0"/>
      <w:divBdr>
        <w:top w:val="none" w:sz="0" w:space="0" w:color="auto"/>
        <w:left w:val="none" w:sz="0" w:space="0" w:color="auto"/>
        <w:bottom w:val="none" w:sz="0" w:space="0" w:color="auto"/>
        <w:right w:val="none" w:sz="0" w:space="0" w:color="auto"/>
      </w:divBdr>
      <w:divsChild>
        <w:div w:id="1306474801">
          <w:marLeft w:val="0"/>
          <w:marRight w:val="0"/>
          <w:marTop w:val="0"/>
          <w:marBottom w:val="0"/>
          <w:divBdr>
            <w:top w:val="none" w:sz="0" w:space="0" w:color="3D3D3D"/>
            <w:left w:val="none" w:sz="0" w:space="0" w:color="3D3D3D"/>
            <w:bottom w:val="none" w:sz="0" w:space="0" w:color="3D3D3D"/>
            <w:right w:val="none" w:sz="0" w:space="0" w:color="3D3D3D"/>
          </w:divBdr>
          <w:divsChild>
            <w:div w:id="19883646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24272086">
      <w:bodyDiv w:val="1"/>
      <w:marLeft w:val="0"/>
      <w:marRight w:val="0"/>
      <w:marTop w:val="0"/>
      <w:marBottom w:val="0"/>
      <w:divBdr>
        <w:top w:val="none" w:sz="0" w:space="0" w:color="auto"/>
        <w:left w:val="none" w:sz="0" w:space="0" w:color="auto"/>
        <w:bottom w:val="none" w:sz="0" w:space="0" w:color="auto"/>
        <w:right w:val="none" w:sz="0" w:space="0" w:color="auto"/>
      </w:divBdr>
      <w:divsChild>
        <w:div w:id="134687525">
          <w:marLeft w:val="0"/>
          <w:marRight w:val="0"/>
          <w:marTop w:val="0"/>
          <w:marBottom w:val="0"/>
          <w:divBdr>
            <w:top w:val="none" w:sz="0" w:space="0" w:color="3D3D3D"/>
            <w:left w:val="none" w:sz="0" w:space="0" w:color="3D3D3D"/>
            <w:bottom w:val="none" w:sz="0" w:space="0" w:color="3D3D3D"/>
            <w:right w:val="none" w:sz="0" w:space="0" w:color="3D3D3D"/>
          </w:divBdr>
          <w:divsChild>
            <w:div w:id="133418727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8690491">
      <w:bodyDiv w:val="1"/>
      <w:marLeft w:val="0"/>
      <w:marRight w:val="0"/>
      <w:marTop w:val="0"/>
      <w:marBottom w:val="0"/>
      <w:divBdr>
        <w:top w:val="none" w:sz="0" w:space="0" w:color="auto"/>
        <w:left w:val="none" w:sz="0" w:space="0" w:color="auto"/>
        <w:bottom w:val="none" w:sz="0" w:space="0" w:color="auto"/>
        <w:right w:val="none" w:sz="0" w:space="0" w:color="auto"/>
      </w:divBdr>
      <w:divsChild>
        <w:div w:id="953445849">
          <w:marLeft w:val="0"/>
          <w:marRight w:val="0"/>
          <w:marTop w:val="0"/>
          <w:marBottom w:val="0"/>
          <w:divBdr>
            <w:top w:val="none" w:sz="0" w:space="0" w:color="3D3D3D"/>
            <w:left w:val="none" w:sz="0" w:space="0" w:color="3D3D3D"/>
            <w:bottom w:val="none" w:sz="0" w:space="0" w:color="3D3D3D"/>
            <w:right w:val="none" w:sz="0" w:space="0" w:color="3D3D3D"/>
          </w:divBdr>
          <w:divsChild>
            <w:div w:id="1134561022">
              <w:marLeft w:val="0"/>
              <w:marRight w:val="0"/>
              <w:marTop w:val="0"/>
              <w:marBottom w:val="0"/>
              <w:divBdr>
                <w:top w:val="none" w:sz="0" w:space="0" w:color="3D3D3D"/>
                <w:left w:val="none" w:sz="0" w:space="0" w:color="3D3D3D"/>
                <w:bottom w:val="none" w:sz="0" w:space="0" w:color="3D3D3D"/>
                <w:right w:val="none" w:sz="0" w:space="0" w:color="3D3D3D"/>
              </w:divBdr>
            </w:div>
            <w:div w:id="236136879">
              <w:marLeft w:val="0"/>
              <w:marRight w:val="0"/>
              <w:marTop w:val="0"/>
              <w:marBottom w:val="0"/>
              <w:divBdr>
                <w:top w:val="none" w:sz="0" w:space="0" w:color="3D3D3D"/>
                <w:left w:val="none" w:sz="0" w:space="0" w:color="3D3D3D"/>
                <w:bottom w:val="none" w:sz="0" w:space="0" w:color="3D3D3D"/>
                <w:right w:val="none" w:sz="0" w:space="0" w:color="3D3D3D"/>
              </w:divBdr>
              <w:divsChild>
                <w:div w:id="1395547563">
                  <w:marLeft w:val="0"/>
                  <w:marRight w:val="0"/>
                  <w:marTop w:val="0"/>
                  <w:marBottom w:val="0"/>
                  <w:divBdr>
                    <w:top w:val="none" w:sz="0" w:space="0" w:color="3D3D3D"/>
                    <w:left w:val="none" w:sz="0" w:space="0" w:color="3D3D3D"/>
                    <w:bottom w:val="none" w:sz="0" w:space="0" w:color="3D3D3D"/>
                    <w:right w:val="none" w:sz="0" w:space="0" w:color="3D3D3D"/>
                  </w:divBdr>
                </w:div>
              </w:divsChild>
            </w:div>
            <w:div w:id="1466117968">
              <w:marLeft w:val="0"/>
              <w:marRight w:val="0"/>
              <w:marTop w:val="217"/>
              <w:marBottom w:val="0"/>
              <w:divBdr>
                <w:top w:val="none" w:sz="0" w:space="0" w:color="3D3D3D"/>
                <w:left w:val="none" w:sz="0" w:space="0" w:color="3D3D3D"/>
                <w:bottom w:val="none" w:sz="0" w:space="0" w:color="3D3D3D"/>
                <w:right w:val="none" w:sz="0" w:space="0" w:color="3D3D3D"/>
              </w:divBdr>
              <w:divsChild>
                <w:div w:id="7493521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258632261">
      <w:bodyDiv w:val="1"/>
      <w:marLeft w:val="0"/>
      <w:marRight w:val="0"/>
      <w:marTop w:val="0"/>
      <w:marBottom w:val="0"/>
      <w:divBdr>
        <w:top w:val="none" w:sz="0" w:space="0" w:color="auto"/>
        <w:left w:val="none" w:sz="0" w:space="0" w:color="auto"/>
        <w:bottom w:val="none" w:sz="0" w:space="0" w:color="auto"/>
        <w:right w:val="none" w:sz="0" w:space="0" w:color="auto"/>
      </w:divBdr>
      <w:divsChild>
        <w:div w:id="664011798">
          <w:marLeft w:val="0"/>
          <w:marRight w:val="0"/>
          <w:marTop w:val="0"/>
          <w:marBottom w:val="0"/>
          <w:divBdr>
            <w:top w:val="none" w:sz="0" w:space="0" w:color="3D3D3D"/>
            <w:left w:val="none" w:sz="0" w:space="0" w:color="3D3D3D"/>
            <w:bottom w:val="none" w:sz="0" w:space="0" w:color="3D3D3D"/>
            <w:right w:val="none" w:sz="0" w:space="0" w:color="3D3D3D"/>
          </w:divBdr>
          <w:divsChild>
            <w:div w:id="21439048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57231008">
      <w:bodyDiv w:val="1"/>
      <w:marLeft w:val="0"/>
      <w:marRight w:val="0"/>
      <w:marTop w:val="0"/>
      <w:marBottom w:val="0"/>
      <w:divBdr>
        <w:top w:val="none" w:sz="0" w:space="0" w:color="auto"/>
        <w:left w:val="none" w:sz="0" w:space="0" w:color="auto"/>
        <w:bottom w:val="none" w:sz="0" w:space="0" w:color="auto"/>
        <w:right w:val="none" w:sz="0" w:space="0" w:color="auto"/>
      </w:divBdr>
      <w:divsChild>
        <w:div w:id="2119910067">
          <w:marLeft w:val="0"/>
          <w:marRight w:val="0"/>
          <w:marTop w:val="0"/>
          <w:marBottom w:val="0"/>
          <w:divBdr>
            <w:top w:val="none" w:sz="0" w:space="0" w:color="3D3D3D"/>
            <w:left w:val="none" w:sz="0" w:space="0" w:color="3D3D3D"/>
            <w:bottom w:val="none" w:sz="0" w:space="0" w:color="3D3D3D"/>
            <w:right w:val="none" w:sz="0" w:space="0" w:color="3D3D3D"/>
          </w:divBdr>
        </w:div>
      </w:divsChild>
    </w:div>
    <w:div w:id="1607884994">
      <w:bodyDiv w:val="1"/>
      <w:marLeft w:val="0"/>
      <w:marRight w:val="0"/>
      <w:marTop w:val="0"/>
      <w:marBottom w:val="0"/>
      <w:divBdr>
        <w:top w:val="none" w:sz="0" w:space="0" w:color="auto"/>
        <w:left w:val="none" w:sz="0" w:space="0" w:color="auto"/>
        <w:bottom w:val="none" w:sz="0" w:space="0" w:color="auto"/>
        <w:right w:val="none" w:sz="0" w:space="0" w:color="auto"/>
      </w:divBdr>
      <w:divsChild>
        <w:div w:id="318386922">
          <w:marLeft w:val="0"/>
          <w:marRight w:val="0"/>
          <w:marTop w:val="0"/>
          <w:marBottom w:val="0"/>
          <w:divBdr>
            <w:top w:val="none" w:sz="0" w:space="0" w:color="3D3D3D"/>
            <w:left w:val="none" w:sz="0" w:space="0" w:color="3D3D3D"/>
            <w:bottom w:val="none" w:sz="0" w:space="0" w:color="3D3D3D"/>
            <w:right w:val="none" w:sz="0" w:space="0" w:color="3D3D3D"/>
          </w:divBdr>
          <w:divsChild>
            <w:div w:id="13487488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12518353">
      <w:bodyDiv w:val="1"/>
      <w:marLeft w:val="0"/>
      <w:marRight w:val="0"/>
      <w:marTop w:val="0"/>
      <w:marBottom w:val="0"/>
      <w:divBdr>
        <w:top w:val="none" w:sz="0" w:space="0" w:color="auto"/>
        <w:left w:val="none" w:sz="0" w:space="0" w:color="auto"/>
        <w:bottom w:val="none" w:sz="0" w:space="0" w:color="auto"/>
        <w:right w:val="none" w:sz="0" w:space="0" w:color="auto"/>
      </w:divBdr>
      <w:divsChild>
        <w:div w:id="661661671">
          <w:marLeft w:val="0"/>
          <w:marRight w:val="0"/>
          <w:marTop w:val="0"/>
          <w:marBottom w:val="0"/>
          <w:divBdr>
            <w:top w:val="none" w:sz="0" w:space="0" w:color="auto"/>
            <w:left w:val="none" w:sz="0" w:space="0" w:color="auto"/>
            <w:bottom w:val="none" w:sz="0" w:space="0" w:color="auto"/>
            <w:right w:val="none" w:sz="0" w:space="0" w:color="auto"/>
          </w:divBdr>
          <w:divsChild>
            <w:div w:id="380062446">
              <w:marLeft w:val="0"/>
              <w:marRight w:val="0"/>
              <w:marTop w:val="0"/>
              <w:marBottom w:val="0"/>
              <w:divBdr>
                <w:top w:val="none" w:sz="0" w:space="0" w:color="auto"/>
                <w:left w:val="none" w:sz="0" w:space="0" w:color="auto"/>
                <w:bottom w:val="none" w:sz="0" w:space="0" w:color="auto"/>
                <w:right w:val="none" w:sz="0" w:space="0" w:color="auto"/>
              </w:divBdr>
              <w:divsChild>
                <w:div w:id="8604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7573">
      <w:bodyDiv w:val="1"/>
      <w:marLeft w:val="0"/>
      <w:marRight w:val="0"/>
      <w:marTop w:val="0"/>
      <w:marBottom w:val="0"/>
      <w:divBdr>
        <w:top w:val="none" w:sz="0" w:space="0" w:color="auto"/>
        <w:left w:val="none" w:sz="0" w:space="0" w:color="auto"/>
        <w:bottom w:val="none" w:sz="0" w:space="0" w:color="auto"/>
        <w:right w:val="none" w:sz="0" w:space="0" w:color="auto"/>
      </w:divBdr>
      <w:divsChild>
        <w:div w:id="829949561">
          <w:marLeft w:val="0"/>
          <w:marRight w:val="0"/>
          <w:marTop w:val="0"/>
          <w:marBottom w:val="0"/>
          <w:divBdr>
            <w:top w:val="none" w:sz="0" w:space="0" w:color="3D3D3D"/>
            <w:left w:val="none" w:sz="0" w:space="0" w:color="3D3D3D"/>
            <w:bottom w:val="none" w:sz="0" w:space="0" w:color="3D3D3D"/>
            <w:right w:val="none" w:sz="0" w:space="0" w:color="3D3D3D"/>
          </w:divBdr>
          <w:divsChild>
            <w:div w:id="157484802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02776662">
      <w:bodyDiv w:val="1"/>
      <w:marLeft w:val="0"/>
      <w:marRight w:val="0"/>
      <w:marTop w:val="0"/>
      <w:marBottom w:val="0"/>
      <w:divBdr>
        <w:top w:val="none" w:sz="0" w:space="0" w:color="auto"/>
        <w:left w:val="none" w:sz="0" w:space="0" w:color="auto"/>
        <w:bottom w:val="none" w:sz="0" w:space="0" w:color="auto"/>
        <w:right w:val="none" w:sz="0" w:space="0" w:color="auto"/>
      </w:divBdr>
      <w:divsChild>
        <w:div w:id="360517315">
          <w:marLeft w:val="0"/>
          <w:marRight w:val="0"/>
          <w:marTop w:val="0"/>
          <w:marBottom w:val="0"/>
          <w:divBdr>
            <w:top w:val="none" w:sz="0" w:space="0" w:color="3D3D3D"/>
            <w:left w:val="none" w:sz="0" w:space="0" w:color="3D3D3D"/>
            <w:bottom w:val="none" w:sz="0" w:space="0" w:color="3D3D3D"/>
            <w:right w:val="none" w:sz="0" w:space="0" w:color="3D3D3D"/>
          </w:divBdr>
        </w:div>
      </w:divsChild>
    </w:div>
    <w:div w:id="1721973193">
      <w:bodyDiv w:val="1"/>
      <w:marLeft w:val="0"/>
      <w:marRight w:val="0"/>
      <w:marTop w:val="0"/>
      <w:marBottom w:val="0"/>
      <w:divBdr>
        <w:top w:val="none" w:sz="0" w:space="0" w:color="auto"/>
        <w:left w:val="none" w:sz="0" w:space="0" w:color="auto"/>
        <w:bottom w:val="none" w:sz="0" w:space="0" w:color="auto"/>
        <w:right w:val="none" w:sz="0" w:space="0" w:color="auto"/>
      </w:divBdr>
      <w:divsChild>
        <w:div w:id="564609662">
          <w:marLeft w:val="0"/>
          <w:marRight w:val="0"/>
          <w:marTop w:val="0"/>
          <w:marBottom w:val="0"/>
          <w:divBdr>
            <w:top w:val="none" w:sz="0" w:space="0" w:color="3D3D3D"/>
            <w:left w:val="none" w:sz="0" w:space="0" w:color="3D3D3D"/>
            <w:bottom w:val="none" w:sz="0" w:space="0" w:color="3D3D3D"/>
            <w:right w:val="none" w:sz="0" w:space="0" w:color="3D3D3D"/>
          </w:divBdr>
        </w:div>
      </w:divsChild>
    </w:div>
    <w:div w:id="1751779333">
      <w:bodyDiv w:val="1"/>
      <w:marLeft w:val="0"/>
      <w:marRight w:val="0"/>
      <w:marTop w:val="0"/>
      <w:marBottom w:val="0"/>
      <w:divBdr>
        <w:top w:val="none" w:sz="0" w:space="0" w:color="auto"/>
        <w:left w:val="none" w:sz="0" w:space="0" w:color="auto"/>
        <w:bottom w:val="none" w:sz="0" w:space="0" w:color="auto"/>
        <w:right w:val="none" w:sz="0" w:space="0" w:color="auto"/>
      </w:divBdr>
      <w:divsChild>
        <w:div w:id="1391003571">
          <w:marLeft w:val="0"/>
          <w:marRight w:val="0"/>
          <w:marTop w:val="0"/>
          <w:marBottom w:val="0"/>
          <w:divBdr>
            <w:top w:val="none" w:sz="0" w:space="0" w:color="3D3D3D"/>
            <w:left w:val="none" w:sz="0" w:space="0" w:color="3D3D3D"/>
            <w:bottom w:val="none" w:sz="0" w:space="0" w:color="3D3D3D"/>
            <w:right w:val="none" w:sz="0" w:space="0" w:color="3D3D3D"/>
          </w:divBdr>
          <w:divsChild>
            <w:div w:id="4428931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74610163">
      <w:bodyDiv w:val="1"/>
      <w:marLeft w:val="0"/>
      <w:marRight w:val="0"/>
      <w:marTop w:val="0"/>
      <w:marBottom w:val="0"/>
      <w:divBdr>
        <w:top w:val="none" w:sz="0" w:space="0" w:color="auto"/>
        <w:left w:val="none" w:sz="0" w:space="0" w:color="auto"/>
        <w:bottom w:val="none" w:sz="0" w:space="0" w:color="auto"/>
        <w:right w:val="none" w:sz="0" w:space="0" w:color="auto"/>
      </w:divBdr>
      <w:divsChild>
        <w:div w:id="402605941">
          <w:marLeft w:val="0"/>
          <w:marRight w:val="0"/>
          <w:marTop w:val="0"/>
          <w:marBottom w:val="0"/>
          <w:divBdr>
            <w:top w:val="none" w:sz="0" w:space="0" w:color="3D3D3D"/>
            <w:left w:val="none" w:sz="0" w:space="0" w:color="3D3D3D"/>
            <w:bottom w:val="none" w:sz="0" w:space="0" w:color="3D3D3D"/>
            <w:right w:val="none" w:sz="0" w:space="0" w:color="3D3D3D"/>
          </w:divBdr>
          <w:divsChild>
            <w:div w:id="38275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21862150">
      <w:bodyDiv w:val="1"/>
      <w:marLeft w:val="0"/>
      <w:marRight w:val="0"/>
      <w:marTop w:val="0"/>
      <w:marBottom w:val="0"/>
      <w:divBdr>
        <w:top w:val="none" w:sz="0" w:space="0" w:color="auto"/>
        <w:left w:val="none" w:sz="0" w:space="0" w:color="auto"/>
        <w:bottom w:val="none" w:sz="0" w:space="0" w:color="auto"/>
        <w:right w:val="none" w:sz="0" w:space="0" w:color="auto"/>
      </w:divBdr>
      <w:divsChild>
        <w:div w:id="605427840">
          <w:marLeft w:val="0"/>
          <w:marRight w:val="0"/>
          <w:marTop w:val="0"/>
          <w:marBottom w:val="0"/>
          <w:divBdr>
            <w:top w:val="none" w:sz="0" w:space="0" w:color="auto"/>
            <w:left w:val="none" w:sz="0" w:space="0" w:color="auto"/>
            <w:bottom w:val="none" w:sz="0" w:space="0" w:color="auto"/>
            <w:right w:val="none" w:sz="0" w:space="0" w:color="auto"/>
          </w:divBdr>
          <w:divsChild>
            <w:div w:id="1551962107">
              <w:marLeft w:val="0"/>
              <w:marRight w:val="0"/>
              <w:marTop w:val="0"/>
              <w:marBottom w:val="0"/>
              <w:divBdr>
                <w:top w:val="none" w:sz="0" w:space="0" w:color="auto"/>
                <w:left w:val="none" w:sz="0" w:space="0" w:color="auto"/>
                <w:bottom w:val="none" w:sz="0" w:space="0" w:color="auto"/>
                <w:right w:val="none" w:sz="0" w:space="0" w:color="auto"/>
              </w:divBdr>
              <w:divsChild>
                <w:div w:id="9613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serNum=1991052411&amp;pubNum=350&amp;originatingDoc=Ic411ae5ba9ec11daa20eccddde63d628&amp;refType=RP&amp;fi=co_pp_sp_350_725&amp;originationContext=document&amp;vr=3.0&amp;rs=cblt1.0&amp;transitionType=DocumentItem&amp;contextData=(sc.UserEnteredCitation)" TargetMode="External"/><Relationship Id="rId13" Type="http://schemas.openxmlformats.org/officeDocument/2006/relationships/hyperlink" Target="https://gcc02.safelinks.protection.outlook.com/?url=https%3A%2F%2F1.next.westlaw.com%2FLink%2FDocument%2FFullText%3FfindType%3DY%26serNum%3D2007919654%26pubNum%3D578%26originatingDoc%3DIa5b540dcd9dd11da8b56def3c325596e%26refType%3DRP%26originationContext%3Ddocument%26transitionType%3DDocumentItem%26ppcid%3D520c3d2c9189400e9bec992f68b88af7%26contextData%3D(sc.Search)&amp;data=05%7C02%7Cwdonnino%40nycourts.gov%7C58b26d494ffe4b7228eb08dc42d7b079%7C3456fe92cbd1406db5a35364bec0a833%7C0%7C0%7C638458741360925712%7CUnknown%7CTWFpbGZsb3d8eyJWIjoiMC4wLjAwMDAiLCJQIjoiV2luMzIiLCJBTiI6Ik1haWwiLCJXVCI6Mn0%3D%7C0%7C%7C%7C&amp;sdata=fIrRoYWIvGW6XVjwVnwddwET0u5Sw2KeksePoomKTV0%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1.next.westlaw.com%2FLink%2FDocument%2FFullText%3FfindType%3DY%26serNum%3D2007919654%26pubNum%3D0000578%26originatingDoc%3DIa5b540dcd9dd11da8b56def3c325596e%26refType%3DRP%26originationContext%3Ddocument%26transitionType%3DDocumentItem%26ppcid%3D520c3d2c9189400e9bec992f68b88af7%26contextData%3D(sc.Search)&amp;data=05%7C02%7Cwdonnino%40nycourts.gov%7C58b26d494ffe4b7228eb08dc42d7b079%7C3456fe92cbd1406db5a35364bec0a833%7C0%7C0%7C638458741360915293%7CUnknown%7CTWFpbGZsb3d8eyJWIjoiMC4wLjAwMDAiLCJQIjoiV2luMzIiLCJBTiI6Ik1haWwiLCJXVCI6Mn0%3D%7C0%7C%7C%7C&amp;sdata=Xj5aGrgnubxLI1pBrd9hgmpSvV2DukikHUfIgzY7jys%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1.next.westlaw.com%2FLink%2FDocument%2FFullText%3FfindType%3DY%26serNum%3D2007919654%26pubNum%3D0000578%26originatingDoc%3DIa5b540dcd9dd11da8b56def3c325596e%26refType%3DRP%26originationContext%3Ddocument%26transitionType%3DDocumentItem%26ppcid%3D520c3d2c9189400e9bec992f68b88af7%26contextData%3D(sc.Search)&amp;data=05%7C02%7Cwdonnino%40nycourts.gov%7C58b26d494ffe4b7228eb08dc42d7b079%7C3456fe92cbd1406db5a35364bec0a833%7C0%7C0%7C638458741360905154%7CUnknown%7CTWFpbGZsb3d8eyJWIjoiMC4wLjAwMDAiLCJQIjoiV2luMzIiLCJBTiI6Ik1haWwiLCJXVCI6Mn0%3D%7C0%7C%7C%7C&amp;sdata=ldbFcLpAc5%2BLcW%2BVGO39TqBCWCr%2BzGI3zOKFOwWGnXc%3D&amp;reserved=0"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1.next.westlaw.com%2FLink%2FDocument%2FFullText%3FfindType%3DY%26serNum%3D2007919654%26pubNum%3D578%26originatingDoc%3DIa5b540dcd9dd11da8b56def3c325596e%26refType%3DRP%26originationContext%3Ddocument%26transitionType%3DDocumentItem%26ppcid%3D520c3d2c9189400e9bec992f68b88af7%26contextData%3D(sc.Search)&amp;data=05%7C02%7Cwdonnino%40nycourts.gov%7C58b26d494ffe4b7228eb08dc42d7b079%7C3456fe92cbd1406db5a35364bec0a833%7C0%7C0%7C638458741360943211%7CUnknown%7CTWFpbGZsb3d8eyJWIjoiMC4wLjAwMDAiLCJQIjoiV2luMzIiLCJBTiI6Ik1haWwiLCJXVCI6Mn0%3D%7C0%7C%7C%7C&amp;sdata=%2FnQlkAXsEP5r1MvtwxhARBPQFFatzABnXYVXKTZ17vQ%3D&amp;reserved=0" TargetMode="External"/><Relationship Id="rId10" Type="http://schemas.openxmlformats.org/officeDocument/2006/relationships/hyperlink" Target="http://www.westlaw.com/Link/Document/FullText?findType=L&amp;pubNum=1004365&amp;cite=USFRER703&amp;originatingDoc=Ic411ae5ba9ec11daa20eccddde63d628&amp;refType=LQ&amp;originationContext=document&amp;vr=3.0&amp;rs=cblt1.0&amp;transitionType=DocumentItem&amp;contextData=(sc.UserEnteredCitation)" TargetMode="External"/><Relationship Id="rId4" Type="http://schemas.openxmlformats.org/officeDocument/2006/relationships/settings" Target="settings.xml"/><Relationship Id="rId9" Type="http://schemas.openxmlformats.org/officeDocument/2006/relationships/hyperlink" Target="http://www.westlaw.com/Link/Document/FullText?findType=Y&amp;serNum=1991052411&amp;pubNum=350&amp;originatingDoc=Ic411ae5ba9ec11daa20eccddde63d628&amp;refType=RP&amp;fi=co_pp_sp_350_725&amp;originationContext=document&amp;vr=3.0&amp;rs=cblt1.0&amp;transitionType=DocumentItem&amp;contextData=(sc.UserEnteredCitation)" TargetMode="External"/><Relationship Id="rId14" Type="http://schemas.openxmlformats.org/officeDocument/2006/relationships/hyperlink" Target="https://gcc02.safelinks.protection.outlook.com/?url=https%3A%2F%2F1.next.westlaw.com%2FLink%2FDocument%2FFullText%3FfindType%3DY%26serNum%3D2007919654%26pubNum%3D578%26originatingDoc%3DIa5b540dcd9dd11da8b56def3c325596e%26refType%3DRP%26originationContext%3Ddocument%26transitionType%3DDocumentItem%26ppcid%3D520c3d2c9189400e9bec992f68b88af7%26contextData%3D(sc.Search)&amp;data=05%7C02%7Cwdonnino%40nycourts.gov%7C58b26d494ffe4b7228eb08dc42d7b079%7C3456fe92cbd1406db5a35364bec0a833%7C0%7C0%7C638458741360934543%7CUnknown%7CTWFpbGZsb3d8eyJWIjoiMC4wLjAwMDAiLCJQIjoiV2luMzIiLCJBTiI6Ik1haWwiLCJXVCI6Mn0%3D%7C0%7C%7C%7C&amp;sdata=yYogHnBxqi5U29UuivTC2Go7Eo4eArxg4PLyVm4YPb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A5C9-427A-4B8E-AD72-3D60E0C8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12</Pages>
  <Words>4800</Words>
  <Characters>28672</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64</cp:revision>
  <cp:lastPrinted>2024-03-18T12:19:00Z</cp:lastPrinted>
  <dcterms:created xsi:type="dcterms:W3CDTF">2024-03-13T13:15:00Z</dcterms:created>
  <dcterms:modified xsi:type="dcterms:W3CDTF">2024-04-17T18:49:00Z</dcterms:modified>
</cp:coreProperties>
</file>