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DF52" w14:textId="77777777" w:rsidR="00344BB2" w:rsidRPr="005F3F6D" w:rsidRDefault="00344BB2" w:rsidP="00C019A2">
      <w:pPr>
        <w:tabs>
          <w:tab w:val="center" w:pos="3960"/>
        </w:tabs>
        <w:jc w:val="both"/>
        <w:rPr>
          <w:rFonts w:ascii="Arial" w:eastAsia="Yu Gothic UI" w:hAnsi="Arial" w:cs="Arial"/>
          <w:sz w:val="28"/>
          <w:szCs w:val="28"/>
        </w:rPr>
      </w:pPr>
      <w:r w:rsidRPr="005F3F6D">
        <w:rPr>
          <w:rFonts w:ascii="Arial" w:eastAsia="Yu Gothic UI" w:hAnsi="Arial" w:cs="Arial"/>
          <w:b/>
          <w:bCs/>
          <w:sz w:val="28"/>
          <w:szCs w:val="28"/>
        </w:rPr>
        <w:tab/>
        <w:t>Accomplice As A Question of Fact</w:t>
      </w:r>
    </w:p>
    <w:p w14:paraId="1CDE3CE2" w14:textId="13240A66" w:rsidR="00344BB2" w:rsidRPr="000E62E9" w:rsidRDefault="00344BB2" w:rsidP="00C019A2">
      <w:pPr>
        <w:tabs>
          <w:tab w:val="center" w:pos="3960"/>
        </w:tabs>
        <w:jc w:val="both"/>
        <w:rPr>
          <w:rFonts w:ascii="Arial" w:eastAsia="Yu Gothic UI" w:hAnsi="Arial" w:cs="Arial"/>
          <w:sz w:val="22"/>
          <w:szCs w:val="22"/>
        </w:rPr>
      </w:pPr>
      <w:r w:rsidRPr="005F3F6D">
        <w:rPr>
          <w:rFonts w:ascii="Arial" w:eastAsia="Yu Gothic UI" w:hAnsi="Arial" w:cs="Arial"/>
          <w:sz w:val="28"/>
          <w:szCs w:val="28"/>
        </w:rPr>
        <w:tab/>
      </w:r>
      <w:r w:rsidRPr="000E62E9">
        <w:rPr>
          <w:rFonts w:ascii="Arial" w:eastAsia="Yu Gothic UI" w:hAnsi="Arial" w:cs="Arial"/>
          <w:sz w:val="22"/>
          <w:szCs w:val="22"/>
        </w:rPr>
        <w:t>(Revised Jan 2011</w:t>
      </w:r>
      <w:r w:rsidR="00B70F58">
        <w:rPr>
          <w:rFonts w:ascii="Arial" w:eastAsia="Yu Gothic UI" w:hAnsi="Arial" w:cs="Arial"/>
          <w:sz w:val="22"/>
          <w:szCs w:val="22"/>
        </w:rPr>
        <w:t>; June 2022</w:t>
      </w:r>
      <w:r w:rsidRPr="000E62E9">
        <w:rPr>
          <w:rFonts w:ascii="Arial" w:eastAsia="Yu Gothic UI" w:hAnsi="Arial" w:cs="Arial"/>
          <w:sz w:val="22"/>
          <w:szCs w:val="22"/>
        </w:rPr>
        <w:t>)</w:t>
      </w:r>
      <w:r w:rsidRPr="000E62E9">
        <w:rPr>
          <w:rStyle w:val="FootnoteReference"/>
          <w:rFonts w:ascii="Arial" w:eastAsia="Yu Gothic UI" w:hAnsi="Arial" w:cs="Arial"/>
          <w:sz w:val="22"/>
          <w:szCs w:val="22"/>
          <w:vertAlign w:val="superscript"/>
        </w:rPr>
        <w:endnoteReference w:id="1"/>
      </w:r>
    </w:p>
    <w:p w14:paraId="14D279C1" w14:textId="77777777" w:rsidR="00344BB2" w:rsidRPr="005F3F6D" w:rsidRDefault="00344BB2" w:rsidP="00C019A2">
      <w:pPr>
        <w:jc w:val="both"/>
        <w:rPr>
          <w:rFonts w:ascii="Arial" w:eastAsia="Yu Gothic UI" w:hAnsi="Arial" w:cs="Arial"/>
          <w:sz w:val="28"/>
          <w:szCs w:val="28"/>
        </w:rPr>
      </w:pPr>
    </w:p>
    <w:p w14:paraId="699597CF"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In this case, you must determine whether (</w:t>
      </w:r>
      <w:r w:rsidRPr="005F3F6D">
        <w:rPr>
          <w:rFonts w:ascii="Arial" w:eastAsia="Yu Gothic UI" w:hAnsi="Arial" w:cs="Arial"/>
          <w:i/>
          <w:iCs/>
          <w:sz w:val="28"/>
          <w:szCs w:val="28"/>
          <w:u w:val="single"/>
        </w:rPr>
        <w:t>specify</w:t>
      </w:r>
      <w:r w:rsidRPr="005F3F6D">
        <w:rPr>
          <w:rFonts w:ascii="Arial" w:eastAsia="Yu Gothic UI" w:hAnsi="Arial" w:cs="Arial"/>
          <w:sz w:val="28"/>
          <w:szCs w:val="28"/>
        </w:rPr>
        <w:t xml:space="preserve">) was an accomplice. </w:t>
      </w:r>
    </w:p>
    <w:p w14:paraId="2AEDD0F8" w14:textId="77777777" w:rsidR="00344BB2" w:rsidRPr="005F3F6D" w:rsidRDefault="00344BB2" w:rsidP="00C019A2">
      <w:pPr>
        <w:jc w:val="both"/>
        <w:rPr>
          <w:rFonts w:ascii="Arial" w:eastAsia="Yu Gothic UI" w:hAnsi="Arial" w:cs="Arial"/>
          <w:sz w:val="28"/>
          <w:szCs w:val="28"/>
        </w:rPr>
      </w:pPr>
    </w:p>
    <w:p w14:paraId="00767BBC"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Under our law, a person is an accomplice when that person is a witness in a criminal action who, according to the evidence</w:t>
      </w:r>
      <w:r w:rsidRPr="005F3F6D">
        <w:rPr>
          <w:rStyle w:val="FootnoteReference"/>
          <w:rFonts w:ascii="Arial" w:eastAsia="Yu Gothic UI" w:hAnsi="Arial" w:cs="Arial"/>
          <w:sz w:val="28"/>
          <w:szCs w:val="28"/>
          <w:vertAlign w:val="superscript"/>
        </w:rPr>
        <w:endnoteReference w:id="2"/>
      </w:r>
      <w:r w:rsidRPr="005F3F6D">
        <w:rPr>
          <w:rFonts w:ascii="Arial" w:eastAsia="Yu Gothic UI" w:hAnsi="Arial" w:cs="Arial"/>
          <w:sz w:val="28"/>
          <w:szCs w:val="28"/>
        </w:rPr>
        <w:t>, may reasonably be considered to have participated in the offense charged or an offense based upon the same or some of the same facts or conduct which constituted the offense charged.</w:t>
      </w:r>
      <w:r w:rsidRPr="005F3F6D">
        <w:rPr>
          <w:rStyle w:val="FootnoteReference"/>
          <w:rFonts w:ascii="Arial" w:eastAsia="Yu Gothic UI" w:hAnsi="Arial" w:cs="Arial"/>
          <w:sz w:val="28"/>
          <w:szCs w:val="28"/>
          <w:vertAlign w:val="superscript"/>
        </w:rPr>
        <w:endnoteReference w:id="3"/>
      </w:r>
    </w:p>
    <w:p w14:paraId="5C759344" w14:textId="77777777" w:rsidR="00344BB2" w:rsidRPr="005F3F6D" w:rsidRDefault="00344BB2" w:rsidP="00C019A2">
      <w:pPr>
        <w:jc w:val="both"/>
        <w:rPr>
          <w:rFonts w:ascii="Arial" w:eastAsia="Yu Gothic UI" w:hAnsi="Arial" w:cs="Arial"/>
          <w:sz w:val="28"/>
          <w:szCs w:val="28"/>
        </w:rPr>
      </w:pPr>
    </w:p>
    <w:p w14:paraId="259F8BD8"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If you find that (</w:t>
      </w:r>
      <w:r w:rsidRPr="005F3F6D">
        <w:rPr>
          <w:rFonts w:ascii="Arial" w:eastAsia="Yu Gothic UI" w:hAnsi="Arial" w:cs="Arial"/>
          <w:i/>
          <w:iCs/>
          <w:sz w:val="28"/>
          <w:szCs w:val="28"/>
          <w:u w:val="single"/>
        </w:rPr>
        <w:t>specify</w:t>
      </w:r>
      <w:r w:rsidRPr="005F3F6D">
        <w:rPr>
          <w:rFonts w:ascii="Arial" w:eastAsia="Yu Gothic UI" w:hAnsi="Arial" w:cs="Arial"/>
          <w:sz w:val="28"/>
          <w:szCs w:val="28"/>
        </w:rPr>
        <w:t>) was not an accomplice, then you must consider his/her testimony as you would any other witness.</w:t>
      </w:r>
    </w:p>
    <w:p w14:paraId="74C4B13C" w14:textId="77777777" w:rsidR="00344BB2" w:rsidRPr="005F3F6D" w:rsidRDefault="00344BB2" w:rsidP="00C019A2">
      <w:pPr>
        <w:jc w:val="both"/>
        <w:rPr>
          <w:rFonts w:ascii="Arial" w:eastAsia="Yu Gothic UI" w:hAnsi="Arial" w:cs="Arial"/>
          <w:sz w:val="28"/>
          <w:szCs w:val="28"/>
        </w:rPr>
      </w:pPr>
    </w:p>
    <w:p w14:paraId="38D04DD9"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If, however, you find that (</w:t>
      </w:r>
      <w:r w:rsidRPr="005F3F6D">
        <w:rPr>
          <w:rFonts w:ascii="Arial" w:eastAsia="Yu Gothic UI" w:hAnsi="Arial" w:cs="Arial"/>
          <w:i/>
          <w:iCs/>
          <w:sz w:val="28"/>
          <w:szCs w:val="28"/>
          <w:u w:val="single"/>
        </w:rPr>
        <w:t>specify</w:t>
      </w:r>
      <w:r w:rsidRPr="005F3F6D">
        <w:rPr>
          <w:rFonts w:ascii="Arial" w:eastAsia="Yu Gothic UI" w:hAnsi="Arial" w:cs="Arial"/>
          <w:sz w:val="28"/>
          <w:szCs w:val="28"/>
        </w:rPr>
        <w:t>) was an accomplice, then you must consider the following:</w:t>
      </w:r>
    </w:p>
    <w:p w14:paraId="2A474BD6" w14:textId="77777777" w:rsidR="00344BB2" w:rsidRPr="005F3F6D" w:rsidRDefault="00344BB2" w:rsidP="00C019A2">
      <w:pPr>
        <w:jc w:val="both"/>
        <w:rPr>
          <w:rFonts w:ascii="Arial" w:eastAsia="Yu Gothic UI" w:hAnsi="Arial" w:cs="Arial"/>
          <w:sz w:val="28"/>
          <w:szCs w:val="28"/>
        </w:rPr>
      </w:pPr>
    </w:p>
    <w:p w14:paraId="0C350798"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Our law is especially concerned about the testimony of an accomplice who implicates another in the commission of a crime, particularly when the accomplice has received, expects, or hopes for a benefit in return for testimony.</w:t>
      </w:r>
    </w:p>
    <w:p w14:paraId="69710432" w14:textId="77777777" w:rsidR="00344BB2" w:rsidRPr="005F3F6D" w:rsidRDefault="00344BB2" w:rsidP="00C019A2">
      <w:pPr>
        <w:jc w:val="both"/>
        <w:rPr>
          <w:rFonts w:ascii="Arial" w:eastAsia="Yu Gothic UI" w:hAnsi="Arial" w:cs="Arial"/>
          <w:sz w:val="28"/>
          <w:szCs w:val="28"/>
        </w:rPr>
      </w:pPr>
    </w:p>
    <w:p w14:paraId="2FBAD1EC"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 xml:space="preserve"> Therefore, our law provides that a defendant may not be convicted of any crime upon the testimony of an accomplice unless it is supported by corroborative evidence tending to connect the defendant with the commission of that crime</w:t>
      </w:r>
      <w:proofErr w:type="gramStart"/>
      <w:r w:rsidRPr="005F3F6D">
        <w:rPr>
          <w:rFonts w:ascii="Arial" w:eastAsia="Yu Gothic UI" w:hAnsi="Arial" w:cs="Arial"/>
          <w:sz w:val="28"/>
          <w:szCs w:val="28"/>
        </w:rPr>
        <w:t xml:space="preserve">. </w:t>
      </w:r>
      <w:proofErr w:type="gramEnd"/>
      <w:r w:rsidRPr="005F3F6D">
        <w:rPr>
          <w:rStyle w:val="FootnoteReference"/>
          <w:rFonts w:ascii="Arial" w:eastAsia="Yu Gothic UI" w:hAnsi="Arial" w:cs="Arial"/>
          <w:sz w:val="28"/>
          <w:szCs w:val="28"/>
          <w:vertAlign w:val="superscript"/>
        </w:rPr>
        <w:endnoteReference w:id="4"/>
      </w:r>
    </w:p>
    <w:p w14:paraId="2D1429D2" w14:textId="77777777" w:rsidR="00344BB2" w:rsidRPr="005F3F6D" w:rsidRDefault="00344BB2" w:rsidP="00C019A2">
      <w:pPr>
        <w:jc w:val="both"/>
        <w:rPr>
          <w:rFonts w:ascii="Arial" w:eastAsia="Yu Gothic UI" w:hAnsi="Arial" w:cs="Arial"/>
          <w:sz w:val="28"/>
          <w:szCs w:val="28"/>
        </w:rPr>
      </w:pPr>
    </w:p>
    <w:p w14:paraId="6993BFA3" w14:textId="2120C4BF" w:rsidR="00344BB2"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In other words, even if you find the testimony of (</w:t>
      </w:r>
      <w:r w:rsidRPr="005F3F6D">
        <w:rPr>
          <w:rFonts w:ascii="Arial" w:eastAsia="Yu Gothic UI" w:hAnsi="Arial" w:cs="Arial"/>
          <w:i/>
          <w:iCs/>
          <w:sz w:val="28"/>
          <w:szCs w:val="28"/>
          <w:u w:val="single"/>
        </w:rPr>
        <w:t>specify</w:t>
      </w:r>
      <w:r w:rsidRPr="005F3F6D">
        <w:rPr>
          <w:rFonts w:ascii="Arial" w:eastAsia="Yu Gothic UI" w:hAnsi="Arial" w:cs="Arial"/>
          <w:sz w:val="28"/>
          <w:szCs w:val="28"/>
        </w:rPr>
        <w:t>) to be believable, you may not convict the defendant solely upon that testimony unless you also find that it was corroborated by other evidence tending to connect the defendant with the commission of the crime.</w:t>
      </w:r>
    </w:p>
    <w:p w14:paraId="42FA5F8A" w14:textId="77777777" w:rsidR="008938F0" w:rsidRDefault="008938F0" w:rsidP="00C019A2">
      <w:pPr>
        <w:ind w:firstLine="720"/>
        <w:jc w:val="both"/>
        <w:rPr>
          <w:rFonts w:ascii="Arial" w:eastAsia="Yu Gothic UI" w:hAnsi="Arial" w:cs="Arial"/>
          <w:sz w:val="28"/>
          <w:szCs w:val="28"/>
        </w:rPr>
      </w:pPr>
    </w:p>
    <w:p w14:paraId="7C5B1368"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The corroborative evidence need not, by itself, prove that the defendant is guilty.</w:t>
      </w:r>
      <w:r w:rsidRPr="005F3F6D">
        <w:rPr>
          <w:rStyle w:val="FootnoteReference"/>
          <w:rFonts w:ascii="Arial" w:eastAsia="Yu Gothic UI" w:hAnsi="Arial" w:cs="Arial"/>
          <w:sz w:val="28"/>
          <w:szCs w:val="28"/>
          <w:vertAlign w:val="superscript"/>
        </w:rPr>
        <w:endnoteReference w:id="5"/>
      </w:r>
      <w:r w:rsidRPr="005F3F6D">
        <w:rPr>
          <w:rFonts w:ascii="Arial" w:eastAsia="Yu Gothic UI" w:hAnsi="Arial" w:cs="Arial"/>
          <w:sz w:val="28"/>
          <w:szCs w:val="28"/>
        </w:rPr>
        <w:t xml:space="preserve"> What the law requires is that there be evidence that tends to connect the defendant with the commission of the crime charged in such a way as may reasonably satisfy you </w:t>
      </w:r>
      <w:r w:rsidRPr="005F3F6D">
        <w:rPr>
          <w:rFonts w:ascii="Arial" w:eastAsia="Yu Gothic UI" w:hAnsi="Arial" w:cs="Arial"/>
          <w:sz w:val="28"/>
          <w:szCs w:val="28"/>
        </w:rPr>
        <w:lastRenderedPageBreak/>
        <w:t>that the accomplice is telling the truth about the defendant's participation in that crime.</w:t>
      </w:r>
      <w:r w:rsidRPr="005F3F6D">
        <w:rPr>
          <w:rStyle w:val="FootnoteReference"/>
          <w:rFonts w:ascii="Arial" w:eastAsia="Yu Gothic UI" w:hAnsi="Arial" w:cs="Arial"/>
          <w:sz w:val="28"/>
          <w:szCs w:val="28"/>
          <w:vertAlign w:val="superscript"/>
        </w:rPr>
        <w:endnoteReference w:id="6"/>
      </w:r>
      <w:r w:rsidRPr="005F3F6D">
        <w:rPr>
          <w:rFonts w:ascii="Arial" w:eastAsia="Yu Gothic UI" w:hAnsi="Arial" w:cs="Arial"/>
          <w:sz w:val="28"/>
          <w:szCs w:val="28"/>
        </w:rPr>
        <w:t xml:space="preserve">  </w:t>
      </w:r>
    </w:p>
    <w:p w14:paraId="4D047A6F" w14:textId="77777777" w:rsidR="00344BB2" w:rsidRPr="005F3F6D" w:rsidRDefault="00344BB2" w:rsidP="00C019A2">
      <w:pPr>
        <w:jc w:val="both"/>
        <w:rPr>
          <w:rFonts w:ascii="Arial" w:eastAsia="Yu Gothic UI" w:hAnsi="Arial" w:cs="Arial"/>
          <w:sz w:val="28"/>
          <w:szCs w:val="28"/>
        </w:rPr>
      </w:pPr>
    </w:p>
    <w:p w14:paraId="3FD9E5B1" w14:textId="05345DB2"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In determining whether there is the necessary corroboration, you may consider whether there is material</w:t>
      </w:r>
      <w:r w:rsidR="00FC2505">
        <w:rPr>
          <w:rFonts w:ascii="Arial" w:eastAsia="Yu Gothic UI" w:hAnsi="Arial" w:cs="Arial"/>
          <w:sz w:val="28"/>
          <w:szCs w:val="28"/>
        </w:rPr>
        <w:t xml:space="preserve">, </w:t>
      </w:r>
      <w:r w:rsidRPr="005F3F6D">
        <w:rPr>
          <w:rFonts w:ascii="Arial" w:eastAsia="Yu Gothic UI" w:hAnsi="Arial" w:cs="Arial"/>
          <w:sz w:val="28"/>
          <w:szCs w:val="28"/>
        </w:rPr>
        <w:t xml:space="preserve">believable evidence, apart from the testimony of the accomplice, which itself tends to connect the defendant with the commission of the crime.  </w:t>
      </w:r>
    </w:p>
    <w:p w14:paraId="254D8A53" w14:textId="77777777" w:rsidR="00344BB2" w:rsidRPr="005F3F6D" w:rsidRDefault="00344BB2" w:rsidP="00C019A2">
      <w:pPr>
        <w:jc w:val="both"/>
        <w:rPr>
          <w:rFonts w:ascii="Arial" w:eastAsia="Yu Gothic UI" w:hAnsi="Arial" w:cs="Arial"/>
          <w:sz w:val="28"/>
          <w:szCs w:val="28"/>
        </w:rPr>
      </w:pPr>
    </w:p>
    <w:p w14:paraId="2AC04F85" w14:textId="77777777" w:rsidR="00344BB2" w:rsidRPr="005F3F6D" w:rsidRDefault="00344BB2" w:rsidP="00C019A2">
      <w:pPr>
        <w:ind w:firstLine="720"/>
        <w:jc w:val="both"/>
        <w:rPr>
          <w:rFonts w:ascii="Arial" w:eastAsia="Yu Gothic UI" w:hAnsi="Arial" w:cs="Arial"/>
          <w:sz w:val="28"/>
          <w:szCs w:val="28"/>
        </w:rPr>
      </w:pPr>
      <w:r w:rsidRPr="005F3F6D">
        <w:rPr>
          <w:rFonts w:ascii="Arial" w:eastAsia="Yu Gothic UI" w:hAnsi="Arial" w:cs="Arial"/>
          <w:sz w:val="28"/>
          <w:szCs w:val="28"/>
        </w:rPr>
        <w:t>You may also consider whether there is material, believable evidence, apart from the testimony of the accomplice, which, while it does not itself tend to connect the defendant with the commission of the crime charged, it nonetheless so harmonizes with the narrative of the accomplice as to satisfy you that the accomplice is telling the truth about the defendant</w:t>
      </w:r>
      <w:r w:rsidRPr="005F3F6D">
        <w:rPr>
          <w:rFonts w:ascii="Arial" w:eastAsia="Yu Gothic UI" w:hAnsi="Arial" w:cs="Arial"/>
          <w:sz w:val="28"/>
          <w:szCs w:val="28"/>
        </w:rPr>
        <w:sym w:font="WP TypographicSymbols" w:char="003D"/>
      </w:r>
      <w:r w:rsidRPr="005F3F6D">
        <w:rPr>
          <w:rFonts w:ascii="Arial" w:eastAsia="Yu Gothic UI" w:hAnsi="Arial" w:cs="Arial"/>
          <w:sz w:val="28"/>
          <w:szCs w:val="28"/>
        </w:rPr>
        <w:t>s participation in the crime and thereby tends to connect the defendant to the commission of the crime.</w:t>
      </w:r>
      <w:r w:rsidRPr="005F3F6D">
        <w:rPr>
          <w:rStyle w:val="FootnoteReference"/>
          <w:rFonts w:ascii="Arial" w:eastAsia="Yu Gothic UI" w:hAnsi="Arial" w:cs="Arial"/>
          <w:sz w:val="28"/>
          <w:szCs w:val="28"/>
          <w:vertAlign w:val="superscript"/>
        </w:rPr>
        <w:endnoteReference w:id="7"/>
      </w:r>
      <w:r w:rsidRPr="005F3F6D">
        <w:rPr>
          <w:rFonts w:ascii="Arial" w:eastAsia="Yu Gothic UI" w:hAnsi="Arial" w:cs="Arial"/>
          <w:sz w:val="28"/>
          <w:szCs w:val="28"/>
        </w:rPr>
        <w:t xml:space="preserve">  </w:t>
      </w:r>
    </w:p>
    <w:p w14:paraId="460AB5A8" w14:textId="77777777" w:rsidR="00344BB2" w:rsidRDefault="00344BB2" w:rsidP="00C019A2">
      <w:pPr>
        <w:jc w:val="both"/>
        <w:rPr>
          <w:rFonts w:ascii="Arial" w:eastAsia="Yu Gothic UI" w:hAnsi="Arial" w:cs="Arial"/>
          <w:sz w:val="28"/>
          <w:szCs w:val="28"/>
        </w:rPr>
      </w:pPr>
    </w:p>
    <w:p w14:paraId="55F7D66D" w14:textId="77777777" w:rsidR="0078005B" w:rsidRPr="00C019A2" w:rsidRDefault="0078005B" w:rsidP="00C019A2">
      <w:pPr>
        <w:jc w:val="both"/>
        <w:rPr>
          <w:rFonts w:ascii="Arial" w:eastAsia="Yu Gothic UI" w:hAnsi="Arial" w:cs="Arial"/>
          <w:i/>
          <w:iCs/>
          <w:sz w:val="28"/>
          <w:szCs w:val="28"/>
          <w:u w:val="single"/>
        </w:rPr>
      </w:pPr>
      <w:r w:rsidRPr="00C019A2">
        <w:rPr>
          <w:rFonts w:ascii="Arial" w:eastAsia="Yu Gothic UI" w:hAnsi="Arial" w:cs="Arial"/>
          <w:i/>
          <w:iCs/>
          <w:sz w:val="28"/>
          <w:szCs w:val="28"/>
          <w:u w:val="single"/>
        </w:rPr>
        <w:t>Add if applicable:</w:t>
      </w:r>
    </w:p>
    <w:p w14:paraId="0CDD53D8" w14:textId="4D6598FD" w:rsidR="00FC2505" w:rsidRPr="00C019A2" w:rsidRDefault="0078005B" w:rsidP="00C019A2">
      <w:pPr>
        <w:jc w:val="both"/>
        <w:rPr>
          <w:rFonts w:ascii="Arial" w:eastAsia="Yu Gothic UI" w:hAnsi="Arial" w:cs="Arial"/>
          <w:sz w:val="28"/>
          <w:szCs w:val="28"/>
        </w:rPr>
      </w:pPr>
      <w:r w:rsidRPr="00C019A2">
        <w:rPr>
          <w:rFonts w:ascii="Arial" w:eastAsia="Yu Gothic UI" w:hAnsi="Arial" w:cs="Arial"/>
          <w:sz w:val="28"/>
          <w:szCs w:val="28"/>
        </w:rPr>
        <w:tab/>
        <w:t>The testimony of one accomplice cannot be used to corroborate the testimony of another.</w:t>
      </w:r>
      <w:r w:rsidR="00C90BEB" w:rsidRPr="00C019A2">
        <w:rPr>
          <w:rStyle w:val="FootnoteReference"/>
          <w:rFonts w:ascii="Arial" w:eastAsia="Yu Gothic UI" w:hAnsi="Arial" w:cs="Arial"/>
          <w:sz w:val="28"/>
          <w:szCs w:val="28"/>
          <w:vertAlign w:val="superscript"/>
        </w:rPr>
        <w:t xml:space="preserve"> </w:t>
      </w:r>
      <w:r w:rsidR="00C90BEB" w:rsidRPr="00C019A2">
        <w:rPr>
          <w:rStyle w:val="FootnoteReference"/>
          <w:rFonts w:ascii="Arial" w:eastAsia="Yu Gothic UI" w:hAnsi="Arial" w:cs="Arial"/>
          <w:sz w:val="28"/>
          <w:szCs w:val="28"/>
          <w:vertAlign w:val="superscript"/>
        </w:rPr>
        <w:endnoteReference w:id="8"/>
      </w:r>
    </w:p>
    <w:p w14:paraId="3AA9AC25" w14:textId="77777777" w:rsidR="00301E1E" w:rsidRPr="005F3F6D" w:rsidRDefault="00301E1E" w:rsidP="00C019A2">
      <w:pPr>
        <w:jc w:val="both"/>
        <w:rPr>
          <w:rFonts w:ascii="Arial" w:eastAsia="Yu Gothic UI" w:hAnsi="Arial" w:cs="Arial"/>
          <w:sz w:val="28"/>
          <w:szCs w:val="28"/>
        </w:rPr>
      </w:pPr>
    </w:p>
    <w:sectPr w:rsidR="00301E1E" w:rsidRPr="005F3F6D" w:rsidSect="00344BB2">
      <w:footerReference w:type="default" r:id="rId7"/>
      <w:endnotePr>
        <w:numFmt w:val="decimal"/>
      </w:endnotePr>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7E3E" w14:textId="77777777" w:rsidR="006B2B85" w:rsidRDefault="006B2B85" w:rsidP="00344BB2">
      <w:r>
        <w:separator/>
      </w:r>
    </w:p>
  </w:endnote>
  <w:endnote w:type="continuationSeparator" w:id="0">
    <w:p w14:paraId="5071D32A" w14:textId="77777777" w:rsidR="006B2B85" w:rsidRDefault="006B2B85" w:rsidP="00344BB2">
      <w:r>
        <w:continuationSeparator/>
      </w:r>
    </w:p>
  </w:endnote>
  <w:endnote w:id="1">
    <w:p w14:paraId="2EA987AF" w14:textId="1047FE21" w:rsidR="00783349" w:rsidRPr="00515E97" w:rsidRDefault="00344BB2" w:rsidP="003C4CFC">
      <w:pPr>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00B70F58" w:rsidRPr="00515E97">
        <w:rPr>
          <w:rFonts w:ascii="Arial" w:eastAsia="Yu Gothic UI" w:hAnsi="Arial" w:cs="Arial"/>
          <w:sz w:val="22"/>
          <w:szCs w:val="22"/>
        </w:rPr>
        <w:t xml:space="preserve">The </w:t>
      </w:r>
      <w:r w:rsidRPr="00515E97">
        <w:rPr>
          <w:rFonts w:ascii="Arial" w:eastAsia="Yu Gothic UI" w:hAnsi="Arial" w:cs="Arial"/>
          <w:sz w:val="22"/>
          <w:szCs w:val="22"/>
        </w:rPr>
        <w:t xml:space="preserve">January 2011 </w:t>
      </w:r>
      <w:r w:rsidR="00B70F58" w:rsidRPr="00515E97">
        <w:rPr>
          <w:rFonts w:ascii="Arial" w:eastAsia="Yu Gothic UI" w:hAnsi="Arial" w:cs="Arial"/>
          <w:sz w:val="22"/>
          <w:szCs w:val="22"/>
        </w:rPr>
        <w:t>revision was for the pur</w:t>
      </w:r>
      <w:r w:rsidR="009C5364" w:rsidRPr="00515E97">
        <w:rPr>
          <w:rFonts w:ascii="Arial" w:eastAsia="Yu Gothic UI" w:hAnsi="Arial" w:cs="Arial"/>
          <w:sz w:val="22"/>
          <w:szCs w:val="22"/>
        </w:rPr>
        <w:t xml:space="preserve">pose of incorporating </w:t>
      </w:r>
      <w:r w:rsidR="0053253B" w:rsidRPr="00515E97">
        <w:rPr>
          <w:rFonts w:ascii="Arial" w:eastAsia="Yu Gothic UI" w:hAnsi="Arial" w:cs="Arial"/>
          <w:sz w:val="22"/>
          <w:szCs w:val="22"/>
        </w:rPr>
        <w:t>the dictates of</w:t>
      </w:r>
      <w:r w:rsidRPr="00515E97">
        <w:rPr>
          <w:rFonts w:ascii="Arial" w:eastAsia="Yu Gothic UI" w:hAnsi="Arial" w:cs="Arial"/>
          <w:sz w:val="22"/>
          <w:szCs w:val="22"/>
        </w:rPr>
        <w:t xml:space="preserve"> </w:t>
      </w:r>
      <w:r w:rsidRPr="00515E97">
        <w:rPr>
          <w:rFonts w:ascii="Arial" w:eastAsia="Yu Gothic UI" w:hAnsi="Arial" w:cs="Arial"/>
          <w:i/>
          <w:iCs/>
          <w:sz w:val="22"/>
          <w:szCs w:val="22"/>
        </w:rPr>
        <w:t>People v Reome</w:t>
      </w:r>
      <w:r w:rsidRPr="00515E97">
        <w:rPr>
          <w:rFonts w:ascii="Arial" w:eastAsia="Yu Gothic UI" w:hAnsi="Arial" w:cs="Arial"/>
          <w:sz w:val="22"/>
          <w:szCs w:val="22"/>
        </w:rPr>
        <w:t xml:space="preserve">, 15 N.Y.3d 188 (2010). </w:t>
      </w:r>
    </w:p>
    <w:p w14:paraId="09B88B54" w14:textId="108DE57C" w:rsidR="0053253B" w:rsidRPr="00515E97" w:rsidRDefault="0053253B" w:rsidP="003C4CFC">
      <w:pPr>
        <w:jc w:val="both"/>
        <w:rPr>
          <w:rFonts w:ascii="Arial" w:eastAsia="Yu Gothic UI" w:hAnsi="Arial" w:cs="Arial"/>
          <w:sz w:val="22"/>
          <w:szCs w:val="22"/>
        </w:rPr>
      </w:pPr>
      <w:r w:rsidRPr="00515E97">
        <w:rPr>
          <w:rFonts w:ascii="Arial" w:eastAsia="Yu Gothic UI" w:hAnsi="Arial" w:cs="Arial"/>
          <w:sz w:val="22"/>
          <w:szCs w:val="22"/>
        </w:rPr>
        <w:t xml:space="preserve">   The June 2022 revision was </w:t>
      </w:r>
      <w:r w:rsidR="008938F0" w:rsidRPr="00515E97">
        <w:rPr>
          <w:rFonts w:ascii="Arial" w:eastAsia="Yu Gothic UI" w:hAnsi="Arial" w:cs="Arial"/>
          <w:sz w:val="22"/>
          <w:szCs w:val="22"/>
        </w:rPr>
        <w:t>for the purpose of including</w:t>
      </w:r>
      <w:r w:rsidRPr="00515E97">
        <w:rPr>
          <w:rFonts w:ascii="Arial" w:eastAsia="Yu Gothic UI" w:hAnsi="Arial" w:cs="Arial"/>
          <w:sz w:val="22"/>
          <w:szCs w:val="22"/>
        </w:rPr>
        <w:t xml:space="preserve"> the text to footnote 8</w:t>
      </w:r>
      <w:r w:rsidR="00A63026" w:rsidRPr="00515E97">
        <w:rPr>
          <w:rFonts w:ascii="Arial" w:eastAsia="Yu Gothic UI" w:hAnsi="Arial" w:cs="Arial"/>
          <w:sz w:val="22"/>
          <w:szCs w:val="22"/>
        </w:rPr>
        <w:t>,</w:t>
      </w:r>
      <w:r w:rsidRPr="00515E97">
        <w:rPr>
          <w:rFonts w:ascii="Arial" w:eastAsia="Yu Gothic UI" w:hAnsi="Arial" w:cs="Arial"/>
          <w:sz w:val="22"/>
          <w:szCs w:val="22"/>
        </w:rPr>
        <w:t xml:space="preserve"> which was formerly </w:t>
      </w:r>
      <w:r w:rsidR="008B0A6E" w:rsidRPr="00515E97">
        <w:rPr>
          <w:rFonts w:ascii="Arial" w:eastAsia="Yu Gothic UI" w:hAnsi="Arial" w:cs="Arial"/>
          <w:sz w:val="22"/>
          <w:szCs w:val="22"/>
        </w:rPr>
        <w:t>in a footnote</w:t>
      </w:r>
      <w:r w:rsidR="00A63026" w:rsidRPr="00515E97">
        <w:rPr>
          <w:rFonts w:ascii="Arial" w:eastAsia="Yu Gothic UI" w:hAnsi="Arial" w:cs="Arial"/>
          <w:sz w:val="22"/>
          <w:szCs w:val="22"/>
        </w:rPr>
        <w:t>,</w:t>
      </w:r>
      <w:r w:rsidR="008B0A6E" w:rsidRPr="00515E97">
        <w:rPr>
          <w:rFonts w:ascii="Arial" w:eastAsia="Yu Gothic UI" w:hAnsi="Arial" w:cs="Arial"/>
          <w:sz w:val="22"/>
          <w:szCs w:val="22"/>
        </w:rPr>
        <w:t xml:space="preserve"> in the body of the instruction.</w:t>
      </w:r>
    </w:p>
    <w:p w14:paraId="05F62AF1" w14:textId="77777777" w:rsidR="00EC01BB" w:rsidRPr="00515E97" w:rsidRDefault="00EC01BB" w:rsidP="003C4CFC">
      <w:pPr>
        <w:jc w:val="both"/>
        <w:rPr>
          <w:rFonts w:ascii="Arial" w:eastAsia="Yu Gothic UI" w:hAnsi="Arial" w:cs="Arial"/>
          <w:sz w:val="22"/>
          <w:szCs w:val="22"/>
        </w:rPr>
      </w:pPr>
    </w:p>
  </w:endnote>
  <w:endnote w:id="2">
    <w:p w14:paraId="063ADF57" w14:textId="4FDA0577" w:rsidR="00344BB2" w:rsidRPr="00FC2505" w:rsidRDefault="00344BB2" w:rsidP="00E8569C">
      <w:pPr>
        <w:spacing w:after="240"/>
        <w:jc w:val="both"/>
        <w:rPr>
          <w:rFonts w:ascii="Arial" w:eastAsia="Yu Gothic UI" w:hAnsi="Arial" w:cs="Arial"/>
          <w:sz w:val="22"/>
          <w:szCs w:val="22"/>
        </w:rPr>
      </w:pPr>
      <w:r w:rsidRPr="00515E97">
        <w:rPr>
          <w:rStyle w:val="FootnoteReference"/>
          <w:rFonts w:ascii="Arial" w:eastAsia="Yu Gothic UI" w:hAnsi="Arial" w:cs="Arial"/>
          <w:sz w:val="22"/>
          <w:szCs w:val="22"/>
        </w:rPr>
        <w:endnoteRef/>
      </w:r>
      <w:r w:rsidRPr="00515E97">
        <w:rPr>
          <w:rFonts w:ascii="Arial" w:eastAsia="Yu Gothic UI" w:hAnsi="Arial" w:cs="Arial"/>
          <w:sz w:val="22"/>
          <w:szCs w:val="22"/>
        </w:rPr>
        <w:t xml:space="preserve">. The statute, CPL 60.22(2), at this point </w:t>
      </w:r>
      <w:r w:rsidR="0089408C" w:rsidRPr="00515E97">
        <w:rPr>
          <w:rFonts w:ascii="Arial" w:eastAsia="Yu Gothic UI" w:hAnsi="Arial" w:cs="Arial"/>
          <w:sz w:val="22"/>
          <w:szCs w:val="22"/>
        </w:rPr>
        <w:t xml:space="preserve">includes the following language </w:t>
      </w:r>
      <w:r w:rsidR="00E11762" w:rsidRPr="00515E97">
        <w:rPr>
          <w:rFonts w:ascii="Arial" w:eastAsia="Yu Gothic UI" w:hAnsi="Arial" w:cs="Arial"/>
          <w:sz w:val="22"/>
          <w:szCs w:val="22"/>
        </w:rPr>
        <w:t xml:space="preserve">which is </w:t>
      </w:r>
      <w:r w:rsidR="000E62E9" w:rsidRPr="00515E97">
        <w:rPr>
          <w:rFonts w:ascii="Arial" w:eastAsia="Yu Gothic UI" w:hAnsi="Arial" w:cs="Arial"/>
          <w:sz w:val="22"/>
          <w:szCs w:val="22"/>
        </w:rPr>
        <w:t>here omitted:</w:t>
      </w:r>
      <w:r w:rsidR="00CB7690" w:rsidRPr="00515E97">
        <w:rPr>
          <w:rFonts w:ascii="Arial" w:eastAsia="Yu Gothic UI" w:hAnsi="Arial" w:cs="Arial"/>
          <w:sz w:val="22"/>
          <w:szCs w:val="22"/>
        </w:rPr>
        <w:t xml:space="preserve"> </w:t>
      </w:r>
      <w:r w:rsidRPr="00515E97">
        <w:rPr>
          <w:rFonts w:ascii="Arial" w:eastAsia="Yu Gothic UI" w:hAnsi="Arial" w:cs="Arial"/>
          <w:sz w:val="22"/>
          <w:szCs w:val="22"/>
        </w:rPr>
        <w:sym w:font="WP TypographicSymbols" w:char="0041"/>
      </w:r>
      <w:r w:rsidRPr="00515E97">
        <w:rPr>
          <w:rFonts w:ascii="Arial" w:eastAsia="Yu Gothic UI" w:hAnsi="Arial" w:cs="Arial"/>
          <w:sz w:val="22"/>
          <w:szCs w:val="22"/>
        </w:rPr>
        <w:t>adduced in such action.</w:t>
      </w:r>
      <w:r w:rsidRPr="00515E97">
        <w:rPr>
          <w:rFonts w:ascii="Arial" w:eastAsia="Yu Gothic UI" w:hAnsi="Arial" w:cs="Arial"/>
          <w:sz w:val="22"/>
          <w:szCs w:val="22"/>
        </w:rPr>
        <w:sym w:font="WP TypographicSymbols" w:char="0040"/>
      </w:r>
      <w:r w:rsidRPr="00FC2505">
        <w:rPr>
          <w:rFonts w:ascii="Arial" w:eastAsia="Yu Gothic UI" w:hAnsi="Arial" w:cs="Arial"/>
          <w:sz w:val="22"/>
          <w:szCs w:val="22"/>
        </w:rPr>
        <w:t xml:space="preserve"> </w:t>
      </w:r>
    </w:p>
  </w:endnote>
  <w:endnote w:id="3">
    <w:p w14:paraId="1B96C4E1" w14:textId="77777777" w:rsidR="00344BB2" w:rsidRPr="00FC2505" w:rsidRDefault="00344BB2" w:rsidP="00E8569C">
      <w:pPr>
        <w:spacing w:after="240"/>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CPL 60.22(2).</w:t>
      </w:r>
    </w:p>
  </w:endnote>
  <w:endnote w:id="4">
    <w:p w14:paraId="020BAF07" w14:textId="77777777" w:rsidR="00344BB2" w:rsidRPr="00FC2505" w:rsidRDefault="00344BB2" w:rsidP="00E8569C">
      <w:pPr>
        <w:spacing w:after="240"/>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CPL 60.22(1). </w:t>
      </w:r>
      <w:r w:rsidRPr="0050685F">
        <w:rPr>
          <w:rFonts w:ascii="Arial" w:eastAsia="Yu Gothic UI" w:hAnsi="Arial" w:cs="Arial"/>
          <w:i/>
          <w:iCs/>
          <w:sz w:val="22"/>
          <w:szCs w:val="22"/>
        </w:rPr>
        <w:t>See</w:t>
      </w:r>
      <w:r w:rsidRPr="00FC2505">
        <w:rPr>
          <w:rFonts w:ascii="Arial" w:eastAsia="Yu Gothic UI" w:hAnsi="Arial" w:cs="Arial"/>
          <w:sz w:val="22"/>
          <w:szCs w:val="22"/>
        </w:rPr>
        <w:t xml:space="preserve"> </w:t>
      </w:r>
      <w:r w:rsidRPr="00FC2505">
        <w:rPr>
          <w:rFonts w:ascii="Arial" w:eastAsia="Yu Gothic UI" w:hAnsi="Arial" w:cs="Arial"/>
          <w:i/>
          <w:iCs/>
          <w:sz w:val="22"/>
          <w:szCs w:val="22"/>
        </w:rPr>
        <w:t xml:space="preserve">People v. Morhouse, </w:t>
      </w:r>
      <w:r w:rsidRPr="00FC2505">
        <w:rPr>
          <w:rFonts w:ascii="Arial" w:eastAsia="Yu Gothic UI" w:hAnsi="Arial" w:cs="Arial"/>
          <w:sz w:val="22"/>
          <w:szCs w:val="22"/>
        </w:rPr>
        <w:t xml:space="preserve"> 21 N.Y.2d 66 (1967);  </w:t>
      </w:r>
      <w:r w:rsidRPr="00FC2505">
        <w:rPr>
          <w:rFonts w:ascii="Arial" w:eastAsia="Yu Gothic UI" w:hAnsi="Arial" w:cs="Arial"/>
          <w:i/>
          <w:iCs/>
          <w:sz w:val="22"/>
          <w:szCs w:val="22"/>
        </w:rPr>
        <w:t>People v. Cunningham</w:t>
      </w:r>
      <w:r w:rsidRPr="00FC2505">
        <w:rPr>
          <w:rFonts w:ascii="Arial" w:eastAsia="Yu Gothic UI" w:hAnsi="Arial" w:cs="Arial"/>
          <w:sz w:val="22"/>
          <w:szCs w:val="22"/>
        </w:rPr>
        <w:t xml:space="preserve">, 48 N.Y.2d 938 (1979); </w:t>
      </w:r>
      <w:r w:rsidRPr="00FC2505">
        <w:rPr>
          <w:rFonts w:ascii="Arial" w:eastAsia="Yu Gothic UI" w:hAnsi="Arial" w:cs="Arial"/>
          <w:i/>
          <w:iCs/>
          <w:sz w:val="22"/>
          <w:szCs w:val="22"/>
        </w:rPr>
        <w:t xml:space="preserve">People v. Glasper </w:t>
      </w:r>
      <w:r w:rsidRPr="00FC2505">
        <w:rPr>
          <w:rFonts w:ascii="Arial" w:eastAsia="Yu Gothic UI" w:hAnsi="Arial" w:cs="Arial"/>
          <w:sz w:val="22"/>
          <w:szCs w:val="22"/>
        </w:rPr>
        <w:t xml:space="preserve">52 N.Y.2d 970  (1981); </w:t>
      </w:r>
      <w:r w:rsidRPr="00FC2505">
        <w:rPr>
          <w:rFonts w:ascii="Arial" w:eastAsia="Yu Gothic UI" w:hAnsi="Arial" w:cs="Arial"/>
          <w:i/>
          <w:iCs/>
          <w:sz w:val="22"/>
          <w:szCs w:val="22"/>
        </w:rPr>
        <w:t xml:space="preserve">People v. Smith, </w:t>
      </w:r>
      <w:r w:rsidRPr="00FC2505">
        <w:rPr>
          <w:rFonts w:ascii="Arial" w:eastAsia="Yu Gothic UI" w:hAnsi="Arial" w:cs="Arial"/>
          <w:sz w:val="22"/>
          <w:szCs w:val="22"/>
        </w:rPr>
        <w:t xml:space="preserve"> 55 N.Y.2d 945 (1982); </w:t>
      </w:r>
      <w:r w:rsidRPr="00FC2505">
        <w:rPr>
          <w:rFonts w:ascii="Arial" w:eastAsia="Yu Gothic UI" w:hAnsi="Arial" w:cs="Arial"/>
          <w:i/>
          <w:iCs/>
          <w:sz w:val="22"/>
          <w:szCs w:val="22"/>
        </w:rPr>
        <w:t>People v Besser</w:t>
      </w:r>
      <w:r w:rsidRPr="00FC2505">
        <w:rPr>
          <w:rFonts w:ascii="Arial" w:eastAsia="Yu Gothic UI" w:hAnsi="Arial" w:cs="Arial"/>
          <w:sz w:val="22"/>
          <w:szCs w:val="22"/>
        </w:rPr>
        <w:t>, 96 N.Y.2d 136 (2001).</w:t>
      </w:r>
    </w:p>
  </w:endnote>
  <w:endnote w:id="5">
    <w:p w14:paraId="469270FD" w14:textId="77777777" w:rsidR="00344BB2" w:rsidRPr="00FC2505" w:rsidRDefault="00344BB2" w:rsidP="00E8569C">
      <w:pPr>
        <w:spacing w:after="240"/>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Pr="00FC2505">
        <w:rPr>
          <w:rFonts w:ascii="Arial" w:eastAsia="Yu Gothic UI" w:hAnsi="Arial" w:cs="Arial"/>
          <w:i/>
          <w:iCs/>
          <w:sz w:val="22"/>
          <w:szCs w:val="22"/>
        </w:rPr>
        <w:t>See People v. Breeland</w:t>
      </w:r>
      <w:r w:rsidRPr="00FC2505">
        <w:rPr>
          <w:rFonts w:ascii="Arial" w:eastAsia="Yu Gothic UI" w:hAnsi="Arial" w:cs="Arial"/>
          <w:sz w:val="22"/>
          <w:szCs w:val="22"/>
        </w:rPr>
        <w:t>, 83 N.Y.2d 286 (1994).</w:t>
      </w:r>
    </w:p>
  </w:endnote>
  <w:endnote w:id="6">
    <w:p w14:paraId="7B058175" w14:textId="38F647AC" w:rsidR="00344BB2" w:rsidRPr="00FC2505" w:rsidRDefault="00344BB2" w:rsidP="00E8569C">
      <w:pPr>
        <w:spacing w:after="240"/>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Pr="00FC2505">
        <w:rPr>
          <w:rFonts w:ascii="Arial" w:eastAsia="Yu Gothic UI" w:hAnsi="Arial" w:cs="Arial"/>
          <w:i/>
          <w:iCs/>
          <w:sz w:val="22"/>
          <w:szCs w:val="22"/>
        </w:rPr>
        <w:t xml:space="preserve">See People v. Moses, </w:t>
      </w:r>
      <w:r w:rsidRPr="00FC2505">
        <w:rPr>
          <w:rFonts w:ascii="Arial" w:eastAsia="Yu Gothic UI" w:hAnsi="Arial" w:cs="Arial"/>
          <w:sz w:val="22"/>
          <w:szCs w:val="22"/>
        </w:rPr>
        <w:t xml:space="preserve">63 N.Y.2d 299 (1984); </w:t>
      </w:r>
      <w:r w:rsidRPr="00FC2505">
        <w:rPr>
          <w:rFonts w:ascii="Arial" w:eastAsia="Yu Gothic UI" w:hAnsi="Arial" w:cs="Arial"/>
          <w:i/>
          <w:iCs/>
          <w:sz w:val="22"/>
          <w:szCs w:val="22"/>
        </w:rPr>
        <w:t>Glasper</w:t>
      </w:r>
      <w:r w:rsidRPr="00FC2505">
        <w:rPr>
          <w:rFonts w:ascii="Arial" w:eastAsia="Yu Gothic UI" w:hAnsi="Arial" w:cs="Arial"/>
          <w:sz w:val="22"/>
          <w:szCs w:val="22"/>
        </w:rPr>
        <w:t>, 52 N.Y.2d 970.</w:t>
      </w:r>
    </w:p>
  </w:endnote>
  <w:endnote w:id="7">
    <w:p w14:paraId="1D4466C2" w14:textId="45398341" w:rsidR="00344BB2" w:rsidRPr="00FC2505" w:rsidRDefault="00344BB2" w:rsidP="00824A9E">
      <w:pPr>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Pr="00FC2505">
        <w:rPr>
          <w:rFonts w:ascii="Arial" w:eastAsia="Yu Gothic UI" w:hAnsi="Arial" w:cs="Arial"/>
          <w:i/>
          <w:iCs/>
          <w:sz w:val="22"/>
          <w:szCs w:val="22"/>
        </w:rPr>
        <w:t>See Reome</w:t>
      </w:r>
      <w:r w:rsidRPr="00FC2505">
        <w:rPr>
          <w:rFonts w:ascii="Arial" w:eastAsia="Yu Gothic UI" w:hAnsi="Arial" w:cs="Arial"/>
          <w:sz w:val="22"/>
          <w:szCs w:val="22"/>
        </w:rPr>
        <w:t>, 15 N.Y.3d 188</w:t>
      </w:r>
      <w:r w:rsidR="00892385">
        <w:rPr>
          <w:rFonts w:ascii="Arial" w:eastAsia="Yu Gothic UI" w:hAnsi="Arial" w:cs="Arial"/>
          <w:sz w:val="22"/>
          <w:szCs w:val="22"/>
        </w:rPr>
        <w:t>.</w:t>
      </w:r>
    </w:p>
    <w:p w14:paraId="6426E0B0" w14:textId="77777777" w:rsidR="00344BB2" w:rsidRPr="00FC2505" w:rsidRDefault="00344BB2" w:rsidP="00824A9E">
      <w:pPr>
        <w:jc w:val="both"/>
        <w:rPr>
          <w:rFonts w:ascii="Arial" w:eastAsia="Yu Gothic UI" w:hAnsi="Arial" w:cs="Arial"/>
          <w:sz w:val="22"/>
          <w:szCs w:val="22"/>
        </w:rPr>
      </w:pPr>
    </w:p>
  </w:endnote>
  <w:endnote w:id="8">
    <w:p w14:paraId="7B7EE008" w14:textId="7A107C9F" w:rsidR="00C90BEB" w:rsidRPr="00FC2505" w:rsidRDefault="00C90BEB" w:rsidP="00824A9E">
      <w:pPr>
        <w:jc w:val="both"/>
        <w:rPr>
          <w:rFonts w:ascii="Arial" w:eastAsia="Yu Gothic UI" w:hAnsi="Arial" w:cs="Arial"/>
          <w:sz w:val="22"/>
          <w:szCs w:val="22"/>
        </w:rPr>
      </w:pPr>
      <w:r w:rsidRPr="00FC2505">
        <w:rPr>
          <w:rStyle w:val="FootnoteReference"/>
          <w:rFonts w:ascii="Arial" w:eastAsia="Yu Gothic UI" w:hAnsi="Arial" w:cs="Arial"/>
          <w:sz w:val="22"/>
          <w:szCs w:val="22"/>
        </w:rPr>
        <w:endnoteRef/>
      </w:r>
      <w:r w:rsidRPr="00FC2505">
        <w:rPr>
          <w:rFonts w:ascii="Arial" w:eastAsia="Yu Gothic UI" w:hAnsi="Arial" w:cs="Arial"/>
          <w:sz w:val="22"/>
          <w:szCs w:val="22"/>
        </w:rPr>
        <w:t xml:space="preserve">. </w:t>
      </w:r>
      <w:r w:rsidRPr="00FC2505">
        <w:rPr>
          <w:rFonts w:ascii="Arial" w:eastAsia="Yu Gothic UI" w:hAnsi="Arial" w:cs="Arial"/>
          <w:i/>
          <w:iCs/>
          <w:sz w:val="22"/>
          <w:szCs w:val="22"/>
        </w:rPr>
        <w:t>People v. O'Farrell,</w:t>
      </w:r>
      <w:r w:rsidRPr="00FC2505">
        <w:rPr>
          <w:rFonts w:ascii="Arial" w:eastAsia="Yu Gothic UI" w:hAnsi="Arial" w:cs="Arial"/>
          <w:sz w:val="22"/>
          <w:szCs w:val="22"/>
        </w:rPr>
        <w:t xml:space="preserve"> 175 N.Y. 323 (1903); </w:t>
      </w:r>
      <w:r w:rsidRPr="00FC2505">
        <w:rPr>
          <w:rFonts w:ascii="Arial" w:eastAsia="Yu Gothic UI" w:hAnsi="Arial" w:cs="Arial"/>
          <w:i/>
          <w:iCs/>
          <w:sz w:val="22"/>
          <w:szCs w:val="22"/>
        </w:rPr>
        <w:t>People v. Mullens</w:t>
      </w:r>
      <w:r w:rsidRPr="00FC2505">
        <w:rPr>
          <w:rFonts w:ascii="Arial" w:eastAsia="Yu Gothic UI" w:hAnsi="Arial" w:cs="Arial"/>
          <w:sz w:val="22"/>
          <w:szCs w:val="22"/>
        </w:rPr>
        <w:t xml:space="preserve">, 292 N.Y. 408 (1944).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575E" w14:textId="77777777" w:rsidR="00344BB2" w:rsidRDefault="00344BB2">
    <w:pPr>
      <w:spacing w:line="240" w:lineRule="exact"/>
    </w:pPr>
  </w:p>
  <w:p w14:paraId="08E5787C" w14:textId="30B5CC11" w:rsidR="00344BB2" w:rsidRDefault="00344BB2">
    <w:pPr>
      <w:framePr w:w="792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5F3F6D">
      <w:rPr>
        <w:rFonts w:ascii="Courier" w:hAnsi="Courier" w:cs="Courier"/>
        <w:noProof/>
      </w:rPr>
      <w:t>3</w:t>
    </w:r>
    <w:r>
      <w:rPr>
        <w:rFonts w:ascii="Courier" w:hAnsi="Courier" w:cs="Courier"/>
      </w:rPr>
      <w:fldChar w:fldCharType="end"/>
    </w:r>
  </w:p>
  <w:p w14:paraId="664BDD86" w14:textId="77777777" w:rsidR="00344BB2" w:rsidRDefault="00344BB2">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33BF" w14:textId="77777777" w:rsidR="006B2B85" w:rsidRDefault="006B2B85" w:rsidP="00344BB2">
      <w:r>
        <w:separator/>
      </w:r>
    </w:p>
  </w:footnote>
  <w:footnote w:type="continuationSeparator" w:id="0">
    <w:p w14:paraId="36630EC1" w14:textId="77777777" w:rsidR="006B2B85" w:rsidRDefault="006B2B85" w:rsidP="0034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BB2"/>
    <w:rsid w:val="000E62E9"/>
    <w:rsid w:val="00101B48"/>
    <w:rsid w:val="002B61CF"/>
    <w:rsid w:val="002D1706"/>
    <w:rsid w:val="00301E1E"/>
    <w:rsid w:val="00344BB2"/>
    <w:rsid w:val="003C4CFC"/>
    <w:rsid w:val="004C148B"/>
    <w:rsid w:val="0050685F"/>
    <w:rsid w:val="00515E97"/>
    <w:rsid w:val="0053253B"/>
    <w:rsid w:val="005F3F6D"/>
    <w:rsid w:val="00657A14"/>
    <w:rsid w:val="00697CB0"/>
    <w:rsid w:val="006B2B85"/>
    <w:rsid w:val="0078005B"/>
    <w:rsid w:val="00783349"/>
    <w:rsid w:val="00824A9E"/>
    <w:rsid w:val="00873D27"/>
    <w:rsid w:val="00892385"/>
    <w:rsid w:val="008938F0"/>
    <w:rsid w:val="0089408C"/>
    <w:rsid w:val="008B0A6E"/>
    <w:rsid w:val="008F523E"/>
    <w:rsid w:val="009C5364"/>
    <w:rsid w:val="00A504BD"/>
    <w:rsid w:val="00A63026"/>
    <w:rsid w:val="00A94F84"/>
    <w:rsid w:val="00B200E4"/>
    <w:rsid w:val="00B70F58"/>
    <w:rsid w:val="00BF379F"/>
    <w:rsid w:val="00C019A2"/>
    <w:rsid w:val="00C6219B"/>
    <w:rsid w:val="00C90BEB"/>
    <w:rsid w:val="00CB7690"/>
    <w:rsid w:val="00E11762"/>
    <w:rsid w:val="00E668A7"/>
    <w:rsid w:val="00E8569C"/>
    <w:rsid w:val="00EC01BB"/>
    <w:rsid w:val="00FC2505"/>
    <w:rsid w:val="00FC5867"/>
    <w:rsid w:val="00FC5E88"/>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F41D5"/>
  <w14:defaultImageDpi w14:val="0"/>
  <w15:docId w15:val="{8AF4AB7F-ACCB-448B-8136-823915D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F8C6-823E-4704-BF96-DF964923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42</cp:revision>
  <dcterms:created xsi:type="dcterms:W3CDTF">2022-01-25T04:49:00Z</dcterms:created>
  <dcterms:modified xsi:type="dcterms:W3CDTF">2022-04-29T18:23:00Z</dcterms:modified>
</cp:coreProperties>
</file>