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3848" w14:textId="77777777" w:rsidR="00A3371A" w:rsidRPr="00D84F4B" w:rsidRDefault="00D84F4B">
      <w:pPr>
        <w:spacing w:before="37" w:line="295" w:lineRule="exact"/>
        <w:jc w:val="center"/>
        <w:textAlignment w:val="baseline"/>
        <w:rPr>
          <w:rFonts w:ascii="Arial" w:eastAsia="Arial" w:hAnsi="Arial"/>
          <w:b/>
          <w:color w:val="000000"/>
          <w:spacing w:val="4"/>
          <w:sz w:val="26"/>
        </w:rPr>
      </w:pPr>
      <w:bookmarkStart w:id="0" w:name="_GoBack"/>
      <w:r w:rsidRPr="00D84F4B">
        <w:rPr>
          <w:rFonts w:ascii="Arial" w:eastAsia="Arial" w:hAnsi="Arial"/>
          <w:b/>
          <w:color w:val="000000"/>
          <w:spacing w:val="4"/>
          <w:sz w:val="26"/>
        </w:rPr>
        <w:t xml:space="preserve">EXPERT WITNESS </w:t>
      </w:r>
      <w:r w:rsidRPr="00D84F4B">
        <w:rPr>
          <w:rFonts w:ascii="Arial" w:eastAsia="Arial" w:hAnsi="Arial"/>
          <w:b/>
          <w:color w:val="000000"/>
          <w:spacing w:val="4"/>
          <w:sz w:val="26"/>
          <w:vertAlign w:val="superscript"/>
        </w:rPr>
        <w:t>1</w:t>
      </w:r>
      <w:r w:rsidRPr="00D84F4B">
        <w:rPr>
          <w:rFonts w:ascii="Arial" w:eastAsia="Arial" w:hAnsi="Arial"/>
          <w:b/>
          <w:color w:val="000000"/>
          <w:spacing w:val="4"/>
          <w:sz w:val="18"/>
        </w:rPr>
        <w:t xml:space="preserve"> </w:t>
      </w:r>
    </w:p>
    <w:bookmarkEnd w:id="0"/>
    <w:p w14:paraId="40BD3849" w14:textId="77777777" w:rsidR="00A3371A" w:rsidRDefault="00D84F4B">
      <w:pPr>
        <w:spacing w:before="357" w:line="298" w:lineRule="exact"/>
        <w:ind w:left="792"/>
        <w:textAlignment w:val="baseline"/>
        <w:rPr>
          <w:rFonts w:ascii="Arial" w:eastAsia="Arial" w:hAnsi="Arial"/>
          <w:color w:val="000000"/>
          <w:spacing w:val="4"/>
          <w:sz w:val="26"/>
        </w:rPr>
      </w:pPr>
      <w:r>
        <w:rPr>
          <w:rFonts w:ascii="Arial" w:eastAsia="Arial" w:hAnsi="Arial"/>
          <w:color w:val="000000"/>
          <w:spacing w:val="4"/>
          <w:sz w:val="26"/>
        </w:rPr>
        <w:t xml:space="preserve">You will recall that </w:t>
      </w:r>
      <w:r>
        <w:rPr>
          <w:rFonts w:ascii="Arial" w:eastAsia="Arial" w:hAnsi="Arial"/>
          <w:i/>
          <w:color w:val="000000"/>
          <w:spacing w:val="4"/>
          <w:sz w:val="26"/>
          <w:u w:val="single"/>
        </w:rPr>
        <w:t>(specify</w:t>
      </w:r>
      <w:r>
        <w:rPr>
          <w:rFonts w:ascii="Arial" w:eastAsia="Arial" w:hAnsi="Arial"/>
          <w:color w:val="000000"/>
          <w:spacing w:val="4"/>
          <w:sz w:val="26"/>
          <w:u w:val="single"/>
        </w:rPr>
        <w:t>)</w:t>
      </w:r>
      <w:r>
        <w:rPr>
          <w:rFonts w:ascii="Arial" w:eastAsia="Arial" w:hAnsi="Arial"/>
          <w:color w:val="000000"/>
          <w:spacing w:val="4"/>
          <w:sz w:val="26"/>
        </w:rPr>
        <w:t xml:space="preserve"> testified</w:t>
      </w:r>
    </w:p>
    <w:p w14:paraId="40BD384A" w14:textId="77777777" w:rsidR="00A3371A" w:rsidRDefault="00D84F4B">
      <w:pPr>
        <w:spacing w:before="346" w:line="295" w:lineRule="exact"/>
        <w:textAlignment w:val="baseline"/>
        <w:rPr>
          <w:rFonts w:ascii="Arial" w:eastAsia="Arial" w:hAnsi="Arial"/>
          <w:color w:val="000000"/>
          <w:spacing w:val="6"/>
          <w:sz w:val="26"/>
        </w:rPr>
      </w:pPr>
      <w:r>
        <w:rPr>
          <w:rFonts w:ascii="Arial" w:eastAsia="Arial" w:hAnsi="Arial"/>
          <w:color w:val="000000"/>
          <w:spacing w:val="6"/>
          <w:sz w:val="26"/>
        </w:rPr>
        <w:t>[about certain (scientific), (medical), (technical) matters]</w:t>
      </w:r>
    </w:p>
    <w:p w14:paraId="40BD384B" w14:textId="77777777" w:rsidR="00A3371A" w:rsidRDefault="00D84F4B">
      <w:pPr>
        <w:spacing w:before="348" w:line="298" w:lineRule="exact"/>
        <w:textAlignment w:val="baseline"/>
        <w:rPr>
          <w:rFonts w:ascii="Arial" w:eastAsia="Arial" w:hAnsi="Arial"/>
          <w:color w:val="000000"/>
          <w:spacing w:val="5"/>
          <w:sz w:val="26"/>
        </w:rPr>
      </w:pPr>
      <w:r>
        <w:rPr>
          <w:rFonts w:ascii="Arial" w:eastAsia="Arial" w:hAnsi="Arial"/>
          <w:color w:val="000000"/>
          <w:spacing w:val="5"/>
          <w:sz w:val="26"/>
        </w:rPr>
        <w:t>[</w:t>
      </w:r>
      <w:r>
        <w:rPr>
          <w:rFonts w:ascii="Arial" w:eastAsia="Arial" w:hAnsi="Arial"/>
          <w:i/>
          <w:color w:val="000000"/>
          <w:spacing w:val="5"/>
          <w:sz w:val="26"/>
        </w:rPr>
        <w:t xml:space="preserve">or </w:t>
      </w:r>
      <w:r>
        <w:rPr>
          <w:rFonts w:ascii="Arial" w:eastAsia="Arial" w:hAnsi="Arial"/>
          <w:i/>
          <w:color w:val="000000"/>
          <w:spacing w:val="5"/>
          <w:sz w:val="26"/>
          <w:u w:val="single"/>
        </w:rPr>
        <w:t>specify the field(s)</w:t>
      </w:r>
      <w:r>
        <w:rPr>
          <w:rFonts w:ascii="Arial" w:eastAsia="Arial" w:hAnsi="Arial"/>
          <w:color w:val="000000"/>
          <w:spacing w:val="5"/>
          <w:sz w:val="26"/>
          <w:u w:val="single"/>
        </w:rPr>
        <w:t>]</w:t>
      </w:r>
    </w:p>
    <w:p w14:paraId="40BD384C" w14:textId="77777777" w:rsidR="00A3371A" w:rsidRDefault="00D84F4B">
      <w:pPr>
        <w:spacing w:before="345" w:line="295" w:lineRule="exact"/>
        <w:textAlignment w:val="baseline"/>
        <w:rPr>
          <w:rFonts w:ascii="Arial" w:eastAsia="Arial" w:hAnsi="Arial"/>
          <w:color w:val="000000"/>
          <w:spacing w:val="6"/>
          <w:sz w:val="26"/>
        </w:rPr>
      </w:pPr>
      <w:r>
        <w:rPr>
          <w:rFonts w:ascii="Arial" w:eastAsia="Arial" w:hAnsi="Arial"/>
          <w:color w:val="000000"/>
          <w:spacing w:val="6"/>
          <w:sz w:val="26"/>
        </w:rPr>
        <w:t>and gave an opinion on such matters.</w:t>
      </w:r>
    </w:p>
    <w:p w14:paraId="40BD384D" w14:textId="77777777" w:rsidR="00A3371A" w:rsidRDefault="00D84F4B">
      <w:pPr>
        <w:spacing w:before="325" w:line="321" w:lineRule="exact"/>
        <w:ind w:firstLine="792"/>
        <w:jc w:val="both"/>
        <w:textAlignment w:val="baseline"/>
        <w:rPr>
          <w:rFonts w:ascii="Arial" w:eastAsia="Arial" w:hAnsi="Arial"/>
          <w:color w:val="000000"/>
          <w:spacing w:val="7"/>
          <w:sz w:val="26"/>
        </w:rPr>
      </w:pPr>
      <w:r>
        <w:rPr>
          <w:rFonts w:ascii="Arial" w:eastAsia="Arial" w:hAnsi="Arial"/>
          <w:color w:val="000000"/>
          <w:spacing w:val="7"/>
          <w:sz w:val="26"/>
        </w:rPr>
        <w:t xml:space="preserve">Ordinarily, a witness is limited to testifying about facts and is not permitted to give an opinion. Where, however, scientific, medical, technical or other specialized knowledge will help the jury understand the evidence or to determine a fact in issue, a </w:t>
      </w:r>
      <w:r>
        <w:rPr>
          <w:rFonts w:ascii="Arial" w:eastAsia="Arial" w:hAnsi="Arial"/>
          <w:color w:val="000000"/>
          <w:spacing w:val="7"/>
          <w:sz w:val="26"/>
        </w:rPr>
        <w:t>witness with expertise in a specialized field may render opinions about such matters.</w:t>
      </w:r>
    </w:p>
    <w:p w14:paraId="40BD384E" w14:textId="77777777" w:rsidR="00A3371A" w:rsidRDefault="00D84F4B">
      <w:pPr>
        <w:spacing w:before="324" w:line="321" w:lineRule="exact"/>
        <w:ind w:firstLine="792"/>
        <w:jc w:val="both"/>
        <w:textAlignment w:val="baseline"/>
        <w:rPr>
          <w:rFonts w:ascii="Arial" w:eastAsia="Arial" w:hAnsi="Arial"/>
          <w:color w:val="000000"/>
          <w:sz w:val="26"/>
        </w:rPr>
      </w:pPr>
      <w:r>
        <w:rPr>
          <w:rFonts w:ascii="Arial" w:eastAsia="Arial" w:hAnsi="Arial"/>
          <w:color w:val="000000"/>
          <w:sz w:val="26"/>
        </w:rPr>
        <w:t xml:space="preserve">You should evaluate the testimony of any such witness just as you would the testimony of any other witness. You may accept or reject such testimony, in whole or in part, </w:t>
      </w:r>
      <w:r>
        <w:rPr>
          <w:rFonts w:ascii="Arial" w:eastAsia="Arial" w:hAnsi="Arial"/>
          <w:color w:val="000000"/>
          <w:sz w:val="26"/>
        </w:rPr>
        <w:t>just as you may with respect to the testimony of any other witness.</w:t>
      </w:r>
    </w:p>
    <w:p w14:paraId="40BD384F" w14:textId="77777777" w:rsidR="00A3371A" w:rsidRDefault="00D84F4B">
      <w:pPr>
        <w:spacing w:before="321" w:line="322" w:lineRule="exact"/>
        <w:ind w:firstLine="792"/>
        <w:jc w:val="both"/>
        <w:textAlignment w:val="baseline"/>
        <w:rPr>
          <w:rFonts w:ascii="Arial" w:eastAsia="Arial" w:hAnsi="Arial"/>
          <w:color w:val="000000"/>
          <w:sz w:val="26"/>
        </w:rPr>
      </w:pPr>
      <w:r>
        <w:rPr>
          <w:rFonts w:ascii="Arial" w:eastAsia="Arial" w:hAnsi="Arial"/>
          <w:color w:val="000000"/>
          <w:sz w:val="26"/>
        </w:rPr>
        <w:t xml:space="preserve">In deciding </w:t>
      </w:r>
      <w:proofErr w:type="gramStart"/>
      <w:r>
        <w:rPr>
          <w:rFonts w:ascii="Arial" w:eastAsia="Arial" w:hAnsi="Arial"/>
          <w:color w:val="000000"/>
          <w:sz w:val="26"/>
        </w:rPr>
        <w:t>whether or not</w:t>
      </w:r>
      <w:proofErr w:type="gramEnd"/>
      <w:r>
        <w:rPr>
          <w:rFonts w:ascii="Arial" w:eastAsia="Arial" w:hAnsi="Arial"/>
          <w:color w:val="000000"/>
          <w:sz w:val="26"/>
        </w:rPr>
        <w:t xml:space="preserve"> to accept such testimony, you should consider the following:</w:t>
      </w:r>
    </w:p>
    <w:p w14:paraId="40BD3850" w14:textId="77777777" w:rsidR="00A3371A" w:rsidRDefault="00D84F4B">
      <w:pPr>
        <w:numPr>
          <w:ilvl w:val="0"/>
          <w:numId w:val="1"/>
        </w:numPr>
        <w:tabs>
          <w:tab w:val="clear" w:pos="648"/>
          <w:tab w:val="left" w:pos="1440"/>
        </w:tabs>
        <w:spacing w:before="322" w:line="321" w:lineRule="exact"/>
        <w:ind w:left="1440" w:hanging="648"/>
        <w:textAlignment w:val="baseline"/>
        <w:rPr>
          <w:rFonts w:ascii="Arial" w:eastAsia="Arial" w:hAnsi="Arial"/>
          <w:color w:val="000000"/>
          <w:spacing w:val="6"/>
          <w:sz w:val="26"/>
        </w:rPr>
      </w:pPr>
      <w:r>
        <w:rPr>
          <w:rFonts w:ascii="Arial" w:eastAsia="Arial" w:hAnsi="Arial"/>
          <w:color w:val="000000"/>
          <w:spacing w:val="6"/>
          <w:sz w:val="26"/>
        </w:rPr>
        <w:t>the qualifications and believability of the witness;</w:t>
      </w:r>
    </w:p>
    <w:p w14:paraId="40BD3851" w14:textId="77777777" w:rsidR="00A3371A" w:rsidRDefault="00D84F4B">
      <w:pPr>
        <w:numPr>
          <w:ilvl w:val="0"/>
          <w:numId w:val="1"/>
        </w:numPr>
        <w:tabs>
          <w:tab w:val="clear" w:pos="648"/>
          <w:tab w:val="left" w:pos="1440"/>
        </w:tabs>
        <w:spacing w:before="321" w:line="322" w:lineRule="exact"/>
        <w:ind w:left="1440" w:hanging="648"/>
        <w:jc w:val="both"/>
        <w:textAlignment w:val="baseline"/>
        <w:rPr>
          <w:rFonts w:ascii="Arial" w:eastAsia="Arial" w:hAnsi="Arial"/>
          <w:color w:val="000000"/>
          <w:sz w:val="26"/>
        </w:rPr>
      </w:pPr>
      <w:r>
        <w:rPr>
          <w:rFonts w:ascii="Arial" w:eastAsia="Arial" w:hAnsi="Arial"/>
          <w:color w:val="000000"/>
          <w:sz w:val="26"/>
        </w:rPr>
        <w:t>the facts and other circumstances upon which th</w:t>
      </w:r>
      <w:r>
        <w:rPr>
          <w:rFonts w:ascii="Arial" w:eastAsia="Arial" w:hAnsi="Arial"/>
          <w:color w:val="000000"/>
          <w:sz w:val="26"/>
        </w:rPr>
        <w:t>e witness's opinion was based;</w:t>
      </w:r>
    </w:p>
    <w:p w14:paraId="40BD3852" w14:textId="77777777" w:rsidR="00A3371A" w:rsidRDefault="00D84F4B">
      <w:pPr>
        <w:numPr>
          <w:ilvl w:val="0"/>
          <w:numId w:val="1"/>
        </w:numPr>
        <w:tabs>
          <w:tab w:val="clear" w:pos="648"/>
          <w:tab w:val="left" w:pos="1440"/>
        </w:tabs>
        <w:spacing w:before="321" w:line="322" w:lineRule="exact"/>
        <w:ind w:left="1440" w:hanging="648"/>
        <w:jc w:val="both"/>
        <w:textAlignment w:val="baseline"/>
        <w:rPr>
          <w:rFonts w:ascii="Arial" w:eastAsia="Arial" w:hAnsi="Arial"/>
          <w:color w:val="000000"/>
          <w:sz w:val="26"/>
        </w:rPr>
      </w:pPr>
      <w:r>
        <w:rPr>
          <w:rFonts w:ascii="Arial" w:eastAsia="Arial" w:hAnsi="Arial"/>
          <w:color w:val="000000"/>
          <w:sz w:val="26"/>
        </w:rPr>
        <w:t>[the accuracy or inaccuracy of any assumed or hypothetical fact upon which the opinion was based;]</w:t>
      </w:r>
    </w:p>
    <w:p w14:paraId="40BD3853" w14:textId="77777777" w:rsidR="00A3371A" w:rsidRDefault="00D84F4B">
      <w:pPr>
        <w:numPr>
          <w:ilvl w:val="0"/>
          <w:numId w:val="1"/>
        </w:numPr>
        <w:tabs>
          <w:tab w:val="clear" w:pos="648"/>
          <w:tab w:val="left" w:pos="1440"/>
        </w:tabs>
        <w:spacing w:before="322" w:line="321" w:lineRule="exact"/>
        <w:ind w:left="1440" w:hanging="648"/>
        <w:jc w:val="both"/>
        <w:textAlignment w:val="baseline"/>
        <w:rPr>
          <w:rFonts w:ascii="Arial" w:eastAsia="Arial" w:hAnsi="Arial"/>
          <w:color w:val="000000"/>
          <w:spacing w:val="7"/>
          <w:sz w:val="26"/>
        </w:rPr>
      </w:pPr>
      <w:r>
        <w:rPr>
          <w:rFonts w:ascii="Arial" w:eastAsia="Arial" w:hAnsi="Arial"/>
          <w:color w:val="000000"/>
          <w:spacing w:val="7"/>
          <w:sz w:val="26"/>
        </w:rPr>
        <w:t>the reasons given for the witness's opinion; and</w:t>
      </w:r>
    </w:p>
    <w:p w14:paraId="40BD3854" w14:textId="77777777" w:rsidR="00A3371A" w:rsidRDefault="00D84F4B">
      <w:pPr>
        <w:numPr>
          <w:ilvl w:val="0"/>
          <w:numId w:val="1"/>
        </w:numPr>
        <w:tabs>
          <w:tab w:val="clear" w:pos="648"/>
          <w:tab w:val="left" w:pos="1440"/>
        </w:tabs>
        <w:spacing w:before="321" w:line="319" w:lineRule="exact"/>
        <w:ind w:left="1440" w:hanging="648"/>
        <w:jc w:val="both"/>
        <w:textAlignment w:val="baseline"/>
        <w:rPr>
          <w:rFonts w:ascii="Arial" w:eastAsia="Arial" w:hAnsi="Arial"/>
          <w:color w:val="000000"/>
          <w:sz w:val="26"/>
        </w:rPr>
      </w:pPr>
      <w:r>
        <w:rPr>
          <w:rFonts w:ascii="Arial" w:eastAsia="Arial" w:hAnsi="Arial"/>
          <w:color w:val="000000"/>
          <w:sz w:val="26"/>
        </w:rPr>
        <w:t>whether the witness's opinion is consistent or inconsistent with other evidence in the case.</w:t>
      </w:r>
    </w:p>
    <w:p w14:paraId="40BD3855" w14:textId="77777777" w:rsidR="00A3371A" w:rsidRDefault="00A3371A">
      <w:pPr>
        <w:sectPr w:rsidR="00A3371A">
          <w:pgSz w:w="12240" w:h="15840"/>
          <w:pgMar w:top="1420" w:right="2134" w:bottom="2104" w:left="2146" w:header="720" w:footer="720" w:gutter="0"/>
          <w:cols w:space="720"/>
        </w:sectPr>
      </w:pPr>
    </w:p>
    <w:p w14:paraId="40BD3856" w14:textId="77777777" w:rsidR="00A3371A" w:rsidRDefault="00D84F4B">
      <w:pPr>
        <w:spacing w:after="11184" w:line="297" w:lineRule="exact"/>
        <w:jc w:val="both"/>
        <w:textAlignment w:val="baseline"/>
        <w:rPr>
          <w:rFonts w:ascii="Arial" w:eastAsia="Arial" w:hAnsi="Arial"/>
          <w:color w:val="000000"/>
          <w:sz w:val="24"/>
        </w:rPr>
      </w:pPr>
      <w:r>
        <w:rPr>
          <w:rFonts w:ascii="Arial" w:eastAsia="Arial" w:hAnsi="Arial"/>
          <w:color w:val="000000"/>
          <w:sz w:val="24"/>
        </w:rPr>
        <w:lastRenderedPageBreak/>
        <w:t xml:space="preserve">1. </w:t>
      </w:r>
      <w:r>
        <w:rPr>
          <w:rFonts w:ascii="Arial" w:eastAsia="Arial" w:hAnsi="Arial"/>
          <w:i/>
          <w:color w:val="000000"/>
          <w:sz w:val="24"/>
        </w:rPr>
        <w:t>See generally</w:t>
      </w:r>
      <w:r>
        <w:rPr>
          <w:rFonts w:ascii="Arial" w:eastAsia="Arial" w:hAnsi="Arial"/>
          <w:color w:val="000000"/>
          <w:sz w:val="24"/>
        </w:rPr>
        <w:t xml:space="preserve">, </w:t>
      </w:r>
      <w:r>
        <w:rPr>
          <w:rFonts w:ascii="Arial" w:eastAsia="Arial" w:hAnsi="Arial"/>
          <w:i/>
          <w:color w:val="000000"/>
          <w:sz w:val="24"/>
        </w:rPr>
        <w:t>People v. Brown</w:t>
      </w:r>
      <w:r>
        <w:rPr>
          <w:rFonts w:ascii="Arial" w:eastAsia="Arial" w:hAnsi="Arial"/>
          <w:color w:val="000000"/>
          <w:sz w:val="24"/>
        </w:rPr>
        <w:t>, 97 N.Y.2d 500 (2002</w:t>
      </w:r>
      <w:proofErr w:type="gramStart"/>
      <w:r>
        <w:rPr>
          <w:rFonts w:ascii="Arial" w:eastAsia="Arial" w:hAnsi="Arial"/>
          <w:color w:val="000000"/>
          <w:sz w:val="24"/>
        </w:rPr>
        <w:t>);</w:t>
      </w:r>
      <w:r>
        <w:rPr>
          <w:rFonts w:ascii="Arial" w:eastAsia="Arial" w:hAnsi="Arial"/>
          <w:i/>
          <w:color w:val="000000"/>
          <w:sz w:val="24"/>
        </w:rPr>
        <w:t>People</w:t>
      </w:r>
      <w:proofErr w:type="gramEnd"/>
      <w:r>
        <w:rPr>
          <w:rFonts w:ascii="Arial" w:eastAsia="Arial" w:hAnsi="Arial"/>
          <w:i/>
          <w:color w:val="000000"/>
          <w:sz w:val="24"/>
        </w:rPr>
        <w:t xml:space="preserve"> v. Lee</w:t>
      </w:r>
      <w:r>
        <w:rPr>
          <w:rFonts w:ascii="Arial" w:eastAsia="Arial" w:hAnsi="Arial"/>
          <w:color w:val="000000"/>
          <w:sz w:val="24"/>
        </w:rPr>
        <w:t xml:space="preserve">, 96 N.Y.2d 157 (2001); </w:t>
      </w:r>
      <w:r>
        <w:rPr>
          <w:rFonts w:ascii="Arial" w:eastAsia="Arial" w:hAnsi="Arial"/>
          <w:i/>
          <w:color w:val="000000"/>
          <w:sz w:val="24"/>
        </w:rPr>
        <w:t>People v. Fratello</w:t>
      </w:r>
      <w:r>
        <w:rPr>
          <w:rFonts w:ascii="Arial" w:eastAsia="Arial" w:hAnsi="Arial"/>
          <w:color w:val="000000"/>
          <w:sz w:val="24"/>
        </w:rPr>
        <w:t xml:space="preserve">, 92 N.Y.2d 565 (1998); </w:t>
      </w:r>
      <w:r>
        <w:rPr>
          <w:rFonts w:ascii="Arial" w:eastAsia="Arial" w:hAnsi="Arial"/>
          <w:i/>
          <w:color w:val="000000"/>
          <w:sz w:val="24"/>
        </w:rPr>
        <w:t>People v. Miller</w:t>
      </w:r>
      <w:r>
        <w:rPr>
          <w:rFonts w:ascii="Arial" w:eastAsia="Arial" w:hAnsi="Arial"/>
          <w:color w:val="000000"/>
          <w:sz w:val="24"/>
        </w:rPr>
        <w:t xml:space="preserve">, 91 N.Y.2d 372 (1998); </w:t>
      </w:r>
      <w:r>
        <w:rPr>
          <w:rFonts w:ascii="Arial" w:eastAsia="Arial" w:hAnsi="Arial"/>
          <w:i/>
          <w:color w:val="000000"/>
          <w:sz w:val="24"/>
        </w:rPr>
        <w:t xml:space="preserve">People v </w:t>
      </w:r>
      <w:proofErr w:type="spellStart"/>
      <w:r>
        <w:rPr>
          <w:rFonts w:ascii="Arial" w:eastAsia="Arial" w:hAnsi="Arial"/>
          <w:i/>
          <w:color w:val="000000"/>
          <w:sz w:val="24"/>
        </w:rPr>
        <w:t>Aphaylath</w:t>
      </w:r>
      <w:proofErr w:type="spellEnd"/>
      <w:r>
        <w:rPr>
          <w:rFonts w:ascii="Arial" w:eastAsia="Arial" w:hAnsi="Arial"/>
          <w:color w:val="000000"/>
          <w:sz w:val="24"/>
        </w:rPr>
        <w:t xml:space="preserve">, 68 NY2d 945 (1986); </w:t>
      </w:r>
      <w:r>
        <w:rPr>
          <w:rFonts w:ascii="Arial" w:eastAsia="Arial" w:hAnsi="Arial"/>
          <w:i/>
          <w:color w:val="000000"/>
          <w:sz w:val="24"/>
        </w:rPr>
        <w:t>People v Brown</w:t>
      </w:r>
      <w:r>
        <w:rPr>
          <w:rFonts w:ascii="Arial" w:eastAsia="Arial" w:hAnsi="Arial"/>
          <w:color w:val="000000"/>
          <w:sz w:val="24"/>
        </w:rPr>
        <w:t xml:space="preserve">, 67 NY2d 555 (1986); </w:t>
      </w:r>
      <w:r>
        <w:rPr>
          <w:rFonts w:ascii="Arial" w:eastAsia="Arial" w:hAnsi="Arial"/>
          <w:i/>
          <w:color w:val="000000"/>
          <w:sz w:val="24"/>
        </w:rPr>
        <w:t>People v Cronin</w:t>
      </w:r>
      <w:r>
        <w:rPr>
          <w:rFonts w:ascii="Arial" w:eastAsia="Arial" w:hAnsi="Arial"/>
          <w:color w:val="000000"/>
          <w:sz w:val="24"/>
        </w:rPr>
        <w:t>, 60 NY2d 430 (1983).</w:t>
      </w:r>
    </w:p>
    <w:p w14:paraId="40BD3857" w14:textId="77777777" w:rsidR="00A3371A" w:rsidRDefault="00A3371A">
      <w:pPr>
        <w:spacing w:after="11184" w:line="297" w:lineRule="exact"/>
        <w:sectPr w:rsidR="00A3371A">
          <w:pgSz w:w="12240" w:h="15840"/>
          <w:pgMar w:top="1440" w:right="2140" w:bottom="1044" w:left="2140" w:header="720" w:footer="720" w:gutter="0"/>
          <w:cols w:space="720"/>
        </w:sectPr>
      </w:pPr>
    </w:p>
    <w:p w14:paraId="40BD3858" w14:textId="77777777" w:rsidR="00A3371A" w:rsidRDefault="00D84F4B">
      <w:pPr>
        <w:spacing w:before="2" w:line="267" w:lineRule="exact"/>
        <w:jc w:val="center"/>
        <w:textAlignment w:val="baseline"/>
        <w:rPr>
          <w:rFonts w:ascii="Arial" w:eastAsia="Arial" w:hAnsi="Arial"/>
          <w:color w:val="000000"/>
          <w:sz w:val="24"/>
        </w:rPr>
      </w:pPr>
      <w:r>
        <w:rPr>
          <w:rFonts w:ascii="Arial" w:eastAsia="Arial" w:hAnsi="Arial"/>
          <w:color w:val="000000"/>
          <w:sz w:val="24"/>
        </w:rPr>
        <w:t>2</w:t>
      </w:r>
    </w:p>
    <w:sectPr w:rsidR="00A3371A">
      <w:type w:val="continuous"/>
      <w:pgSz w:w="12240" w:h="15840"/>
      <w:pgMar w:top="1440" w:right="2144" w:bottom="1044" w:left="2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44140"/>
    <w:multiLevelType w:val="multilevel"/>
    <w:tmpl w:val="D50CD3C6"/>
    <w:lvl w:ilvl="0">
      <w:start w:val="1"/>
      <w:numFmt w:val="bullet"/>
      <w:lvlText w:val="·"/>
      <w:lvlJc w:val="left"/>
      <w:pPr>
        <w:tabs>
          <w:tab w:val="left" w:pos="648"/>
        </w:tabs>
      </w:pPr>
      <w:rPr>
        <w:rFonts w:ascii="Symbol" w:eastAsia="Symbol" w:hAnsi="Symbol"/>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3371A"/>
    <w:rsid w:val="00A3371A"/>
    <w:rsid w:val="00D8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3848"/>
  <w15:docId w15:val="{9C4EC3E1-168B-4815-AEF7-E9BF7D5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2017-12-28T21:13:00Z</dcterms:created>
  <dcterms:modified xsi:type="dcterms:W3CDTF">2017-12-28T21:13:00Z</dcterms:modified>
</cp:coreProperties>
</file>