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A54D5" w14:textId="77777777" w:rsidR="00C52410" w:rsidRDefault="005D696B">
      <w:pPr>
        <w:spacing w:before="42" w:line="299" w:lineRule="exact"/>
        <w:jc w:val="center"/>
        <w:textAlignment w:val="baseline"/>
        <w:rPr>
          <w:rFonts w:ascii="Arial" w:eastAsia="Arial" w:hAnsi="Arial"/>
          <w:b/>
          <w:color w:val="000000"/>
          <w:spacing w:val="5"/>
          <w:sz w:val="26"/>
        </w:rPr>
      </w:pPr>
      <w:r>
        <w:rPr>
          <w:rFonts w:ascii="Arial" w:eastAsia="Arial" w:hAnsi="Arial"/>
          <w:b/>
          <w:color w:val="000000"/>
          <w:spacing w:val="5"/>
          <w:sz w:val="26"/>
        </w:rPr>
        <w:t xml:space="preserve">Expert Witness Re: Drug Trafficking </w:t>
      </w:r>
      <w:r>
        <w:rPr>
          <w:rFonts w:ascii="Arial" w:eastAsia="Arial" w:hAnsi="Arial"/>
          <w:color w:val="000000"/>
          <w:spacing w:val="5"/>
          <w:sz w:val="26"/>
          <w:vertAlign w:val="superscript"/>
        </w:rPr>
        <w:t>1</w:t>
      </w:r>
      <w:r>
        <w:rPr>
          <w:rFonts w:ascii="Arial" w:eastAsia="Arial" w:hAnsi="Arial"/>
          <w:color w:val="000000"/>
          <w:spacing w:val="5"/>
          <w:sz w:val="16"/>
        </w:rPr>
        <w:t xml:space="preserve"> </w:t>
      </w:r>
    </w:p>
    <w:p w14:paraId="1E8A54D6" w14:textId="77777777" w:rsidR="00C52410" w:rsidRDefault="005D696B">
      <w:pPr>
        <w:spacing w:before="649" w:line="321" w:lineRule="exact"/>
        <w:ind w:left="720"/>
        <w:textAlignment w:val="baseline"/>
        <w:rPr>
          <w:rFonts w:ascii="Arial" w:eastAsia="Arial" w:hAnsi="Arial"/>
          <w:color w:val="000000"/>
          <w:spacing w:val="6"/>
          <w:sz w:val="26"/>
        </w:rPr>
      </w:pPr>
      <w:r>
        <w:rPr>
          <w:rFonts w:ascii="Arial" w:eastAsia="Arial" w:hAnsi="Arial"/>
          <w:color w:val="000000"/>
          <w:spacing w:val="6"/>
          <w:sz w:val="26"/>
        </w:rPr>
        <w:t>You wi</w:t>
      </w:r>
      <w:bookmarkStart w:id="0" w:name="_GoBack"/>
      <w:bookmarkEnd w:id="0"/>
      <w:r>
        <w:rPr>
          <w:rFonts w:ascii="Arial" w:eastAsia="Arial" w:hAnsi="Arial"/>
          <w:color w:val="000000"/>
          <w:spacing w:val="6"/>
          <w:sz w:val="26"/>
        </w:rPr>
        <w:t xml:space="preserve">ll recall that </w:t>
      </w:r>
      <w:r>
        <w:rPr>
          <w:rFonts w:ascii="Arial" w:eastAsia="Arial" w:hAnsi="Arial"/>
          <w:color w:val="000000"/>
          <w:spacing w:val="6"/>
          <w:sz w:val="27"/>
          <w:u w:val="single"/>
        </w:rPr>
        <w:t>(</w:t>
      </w:r>
      <w:r>
        <w:rPr>
          <w:rFonts w:ascii="Arial" w:eastAsia="Arial" w:hAnsi="Arial"/>
          <w:i/>
          <w:color w:val="000000"/>
          <w:spacing w:val="6"/>
          <w:sz w:val="26"/>
          <w:u w:val="single"/>
        </w:rPr>
        <w:t>specify</w:t>
      </w:r>
      <w:r>
        <w:rPr>
          <w:rFonts w:ascii="Arial" w:eastAsia="Arial" w:hAnsi="Arial"/>
          <w:color w:val="000000"/>
          <w:spacing w:val="6"/>
          <w:sz w:val="27"/>
          <w:u w:val="single"/>
        </w:rPr>
        <w:t>)</w:t>
      </w:r>
      <w:r>
        <w:rPr>
          <w:rFonts w:ascii="Arial" w:eastAsia="Arial" w:hAnsi="Arial"/>
          <w:color w:val="000000"/>
          <w:spacing w:val="6"/>
          <w:sz w:val="26"/>
        </w:rPr>
        <w:t xml:space="preserve"> testified about</w:t>
      </w:r>
    </w:p>
    <w:p w14:paraId="1E8A54D7" w14:textId="77777777" w:rsidR="00C52410" w:rsidRDefault="005D696B">
      <w:pPr>
        <w:spacing w:before="343" w:line="297" w:lineRule="exact"/>
        <w:ind w:left="720"/>
        <w:textAlignment w:val="baseline"/>
        <w:rPr>
          <w:rFonts w:ascii="Arial" w:eastAsia="Arial" w:hAnsi="Arial"/>
          <w:i/>
          <w:color w:val="000000"/>
          <w:spacing w:val="6"/>
          <w:sz w:val="26"/>
        </w:rPr>
      </w:pPr>
      <w:r>
        <w:rPr>
          <w:rFonts w:ascii="Arial" w:eastAsia="Arial" w:hAnsi="Arial"/>
          <w:i/>
          <w:color w:val="000000"/>
          <w:spacing w:val="6"/>
          <w:sz w:val="26"/>
        </w:rPr>
        <w:t>Select appropriate alternative(s):</w:t>
      </w:r>
    </w:p>
    <w:p w14:paraId="1E8A54D8" w14:textId="77777777" w:rsidR="00C52410" w:rsidRDefault="005D696B">
      <w:pPr>
        <w:spacing w:before="318" w:line="321" w:lineRule="exact"/>
        <w:jc w:val="center"/>
        <w:textAlignment w:val="baseline"/>
        <w:rPr>
          <w:rFonts w:ascii="Arial" w:eastAsia="Arial" w:hAnsi="Arial"/>
          <w:color w:val="000000"/>
          <w:spacing w:val="5"/>
          <w:sz w:val="26"/>
        </w:rPr>
      </w:pPr>
      <w:r>
        <w:rPr>
          <w:rFonts w:ascii="Arial" w:eastAsia="Arial" w:hAnsi="Arial"/>
          <w:color w:val="000000"/>
          <w:spacing w:val="5"/>
          <w:sz w:val="26"/>
        </w:rPr>
        <w:t xml:space="preserve">the roles people play in the sale of drugs </w:t>
      </w:r>
      <w:r>
        <w:rPr>
          <w:rFonts w:ascii="Arial" w:eastAsia="Arial" w:hAnsi="Arial"/>
          <w:color w:val="000000"/>
          <w:spacing w:val="5"/>
          <w:sz w:val="26"/>
          <w:vertAlign w:val="superscript"/>
        </w:rPr>
        <w:t>2</w:t>
      </w:r>
      <w:r>
        <w:rPr>
          <w:rFonts w:ascii="Arial" w:eastAsia="Arial" w:hAnsi="Arial"/>
          <w:color w:val="000000"/>
          <w:spacing w:val="5"/>
          <w:sz w:val="16"/>
        </w:rPr>
        <w:t xml:space="preserve"> </w:t>
      </w:r>
    </w:p>
    <w:p w14:paraId="1E8A54D9" w14:textId="77777777" w:rsidR="00C52410" w:rsidRDefault="005D696B">
      <w:pPr>
        <w:spacing w:before="323" w:line="321" w:lineRule="exact"/>
        <w:jc w:val="center"/>
        <w:textAlignment w:val="baseline"/>
        <w:rPr>
          <w:rFonts w:ascii="Arial" w:eastAsia="Arial" w:hAnsi="Arial"/>
          <w:color w:val="000000"/>
          <w:spacing w:val="5"/>
          <w:sz w:val="26"/>
        </w:rPr>
      </w:pPr>
      <w:r>
        <w:rPr>
          <w:rFonts w:ascii="Arial" w:eastAsia="Arial" w:hAnsi="Arial"/>
          <w:color w:val="000000"/>
          <w:spacing w:val="5"/>
          <w:sz w:val="26"/>
        </w:rPr>
        <w:t xml:space="preserve">the way in which drugs are packaged </w:t>
      </w:r>
      <w:r>
        <w:rPr>
          <w:rFonts w:ascii="Arial" w:eastAsia="Arial" w:hAnsi="Arial"/>
          <w:color w:val="000000"/>
          <w:spacing w:val="5"/>
          <w:sz w:val="26"/>
          <w:vertAlign w:val="superscript"/>
        </w:rPr>
        <w:t>3</w:t>
      </w:r>
      <w:r>
        <w:rPr>
          <w:rFonts w:ascii="Arial" w:eastAsia="Arial" w:hAnsi="Arial"/>
          <w:color w:val="000000"/>
          <w:spacing w:val="5"/>
          <w:sz w:val="16"/>
        </w:rPr>
        <w:t xml:space="preserve"> </w:t>
      </w:r>
    </w:p>
    <w:p w14:paraId="1E8A54DA" w14:textId="77777777" w:rsidR="00C52410" w:rsidRDefault="005D696B">
      <w:pPr>
        <w:spacing w:before="323" w:line="321" w:lineRule="exact"/>
        <w:ind w:left="1440"/>
        <w:textAlignment w:val="baseline"/>
        <w:rPr>
          <w:rFonts w:ascii="Arial" w:eastAsia="Arial" w:hAnsi="Arial"/>
          <w:color w:val="000000"/>
          <w:spacing w:val="5"/>
          <w:sz w:val="26"/>
        </w:rPr>
      </w:pPr>
      <w:r>
        <w:rPr>
          <w:rFonts w:ascii="Arial" w:eastAsia="Arial" w:hAnsi="Arial"/>
          <w:color w:val="000000"/>
          <w:spacing w:val="5"/>
          <w:sz w:val="26"/>
        </w:rPr>
        <w:t xml:space="preserve">the terminology people use in the sale of drugs </w:t>
      </w:r>
      <w:r>
        <w:rPr>
          <w:rFonts w:ascii="Arial" w:eastAsia="Arial" w:hAnsi="Arial"/>
          <w:color w:val="000000"/>
          <w:spacing w:val="5"/>
          <w:sz w:val="26"/>
          <w:vertAlign w:val="superscript"/>
        </w:rPr>
        <w:t>4</w:t>
      </w:r>
      <w:r>
        <w:rPr>
          <w:rFonts w:ascii="Arial" w:eastAsia="Arial" w:hAnsi="Arial"/>
          <w:color w:val="000000"/>
          <w:spacing w:val="5"/>
          <w:sz w:val="16"/>
        </w:rPr>
        <w:t xml:space="preserve"> </w:t>
      </w:r>
    </w:p>
    <w:p w14:paraId="1E8A54DB" w14:textId="77777777" w:rsidR="00C52410" w:rsidRDefault="005D696B">
      <w:pPr>
        <w:spacing w:before="327" w:line="321" w:lineRule="exact"/>
        <w:ind w:firstLine="720"/>
        <w:jc w:val="both"/>
        <w:textAlignment w:val="baseline"/>
        <w:rPr>
          <w:rFonts w:ascii="Arial" w:eastAsia="Arial" w:hAnsi="Arial"/>
          <w:color w:val="000000"/>
          <w:sz w:val="26"/>
        </w:rPr>
      </w:pPr>
      <w:r>
        <w:rPr>
          <w:rFonts w:ascii="Arial" w:eastAsia="Arial" w:hAnsi="Arial"/>
          <w:color w:val="000000"/>
          <w:sz w:val="26"/>
        </w:rPr>
        <w:t>You should evaluate that testimony for believability and accuracy just as you would the testimony of any other witness. You may accept it or reject it, in whole or in part, just as you may with respect to the testimony of any other witness.</w:t>
      </w:r>
    </w:p>
    <w:p w14:paraId="1E8A54DC" w14:textId="77777777" w:rsidR="00C52410" w:rsidRDefault="005D696B">
      <w:pPr>
        <w:spacing w:before="324" w:line="321" w:lineRule="exact"/>
        <w:ind w:firstLine="720"/>
        <w:jc w:val="both"/>
        <w:textAlignment w:val="baseline"/>
        <w:rPr>
          <w:rFonts w:ascii="Arial" w:eastAsia="Arial" w:hAnsi="Arial"/>
          <w:color w:val="000000"/>
          <w:sz w:val="26"/>
        </w:rPr>
      </w:pPr>
      <w:r>
        <w:rPr>
          <w:rFonts w:ascii="Arial" w:eastAsia="Arial" w:hAnsi="Arial"/>
          <w:color w:val="000000"/>
          <w:sz w:val="26"/>
        </w:rPr>
        <w:t>If you accept</w:t>
      </w:r>
      <w:r>
        <w:rPr>
          <w:rFonts w:ascii="Arial" w:eastAsia="Arial" w:hAnsi="Arial"/>
          <w:color w:val="000000"/>
          <w:sz w:val="26"/>
        </w:rPr>
        <w:t xml:space="preserve"> the testimony, you may consider it along with all the other evidence in the case in determining whether the People have proven the defendant’s guilt beyond a reasonable doubt. Standing alone, however, such testimony is not sufficient to prove that the def</w:t>
      </w:r>
      <w:r>
        <w:rPr>
          <w:rFonts w:ascii="Arial" w:eastAsia="Arial" w:hAnsi="Arial"/>
          <w:color w:val="000000"/>
          <w:sz w:val="26"/>
        </w:rPr>
        <w:t>endant is guilty.</w:t>
      </w:r>
    </w:p>
    <w:p w14:paraId="1E8A54DD" w14:textId="77777777" w:rsidR="00C52410" w:rsidRDefault="00C52410">
      <w:pPr>
        <w:sectPr w:rsidR="00C52410">
          <w:pgSz w:w="12240" w:h="15840"/>
          <w:pgMar w:top="1420" w:right="2140" w:bottom="6584" w:left="2160" w:header="720" w:footer="720" w:gutter="0"/>
          <w:cols w:space="720"/>
        </w:sectPr>
      </w:pPr>
    </w:p>
    <w:p w14:paraId="2696A2F9" w14:textId="7BF6E8F2" w:rsidR="005D696B" w:rsidRDefault="005D696B" w:rsidP="005D696B">
      <w:pPr>
        <w:numPr>
          <w:ilvl w:val="0"/>
          <w:numId w:val="1"/>
        </w:numPr>
        <w:tabs>
          <w:tab w:val="clear" w:pos="360"/>
          <w:tab w:val="left" w:pos="432"/>
        </w:tabs>
        <w:spacing w:line="287" w:lineRule="exact"/>
        <w:ind w:left="72"/>
        <w:textAlignment w:val="baseline"/>
        <w:rPr>
          <w:rFonts w:ascii="Arial" w:eastAsia="Arial" w:hAnsi="Arial"/>
          <w:color w:val="000000"/>
          <w:sz w:val="24"/>
        </w:rPr>
      </w:pPr>
      <w:r>
        <w:rPr>
          <w:rFonts w:ascii="Arial" w:eastAsia="Arial" w:hAnsi="Arial"/>
          <w:color w:val="000000"/>
          <w:sz w:val="24"/>
        </w:rPr>
        <w:lastRenderedPageBreak/>
        <w:t>As appropriate, the Court may submit this charge along with the general charge relating to an expert witness.</w:t>
      </w:r>
    </w:p>
    <w:p w14:paraId="4A53787C" w14:textId="77777777" w:rsidR="005D696B" w:rsidRDefault="005D696B" w:rsidP="005D696B">
      <w:pPr>
        <w:tabs>
          <w:tab w:val="left" w:pos="360"/>
          <w:tab w:val="left" w:pos="432"/>
        </w:tabs>
        <w:spacing w:line="287" w:lineRule="exact"/>
        <w:ind w:left="72"/>
        <w:textAlignment w:val="baseline"/>
        <w:rPr>
          <w:rFonts w:ascii="Arial" w:eastAsia="Arial" w:hAnsi="Arial"/>
          <w:color w:val="000000"/>
          <w:sz w:val="24"/>
        </w:rPr>
      </w:pPr>
    </w:p>
    <w:p w14:paraId="70D87F4A" w14:textId="77777777" w:rsidR="005D696B" w:rsidRDefault="005D696B" w:rsidP="005D696B">
      <w:pPr>
        <w:numPr>
          <w:ilvl w:val="0"/>
          <w:numId w:val="1"/>
        </w:numPr>
        <w:tabs>
          <w:tab w:val="clear" w:pos="360"/>
          <w:tab w:val="left" w:pos="432"/>
        </w:tabs>
        <w:spacing w:line="287" w:lineRule="exact"/>
        <w:ind w:left="72"/>
        <w:textAlignment w:val="baseline"/>
        <w:rPr>
          <w:rFonts w:ascii="Arial" w:eastAsia="Arial" w:hAnsi="Arial"/>
          <w:color w:val="000000"/>
          <w:sz w:val="24"/>
        </w:rPr>
      </w:pPr>
      <w:r w:rsidRPr="005D696B">
        <w:rPr>
          <w:rFonts w:ascii="Arial" w:eastAsia="Arial" w:hAnsi="Arial"/>
          <w:i/>
          <w:color w:val="000000"/>
          <w:sz w:val="24"/>
        </w:rPr>
        <w:t>See People v Smith</w:t>
      </w:r>
      <w:r w:rsidRPr="005D696B">
        <w:rPr>
          <w:rFonts w:ascii="Arial" w:eastAsia="Arial" w:hAnsi="Arial"/>
          <w:color w:val="000000"/>
          <w:sz w:val="24"/>
        </w:rPr>
        <w:t xml:space="preserve">, 2 NY3d 8 [2004]; </w:t>
      </w:r>
      <w:r w:rsidRPr="005D696B">
        <w:rPr>
          <w:rFonts w:ascii="Arial" w:eastAsia="Arial" w:hAnsi="Arial"/>
          <w:i/>
          <w:color w:val="000000"/>
          <w:sz w:val="24"/>
        </w:rPr>
        <w:t>People v Gonzalez</w:t>
      </w:r>
      <w:r w:rsidRPr="005D696B">
        <w:rPr>
          <w:rFonts w:ascii="Arial" w:eastAsia="Arial" w:hAnsi="Arial"/>
          <w:color w:val="000000"/>
          <w:sz w:val="24"/>
        </w:rPr>
        <w:t xml:space="preserve">, 99 NY2d 76 [2002]; </w:t>
      </w:r>
      <w:r w:rsidRPr="005D696B">
        <w:rPr>
          <w:rFonts w:ascii="Arial" w:eastAsia="Arial" w:hAnsi="Arial"/>
          <w:i/>
          <w:color w:val="000000"/>
          <w:sz w:val="24"/>
        </w:rPr>
        <w:t>People v Brown</w:t>
      </w:r>
      <w:r w:rsidRPr="005D696B">
        <w:rPr>
          <w:rFonts w:ascii="Arial" w:eastAsia="Arial" w:hAnsi="Arial"/>
          <w:color w:val="000000"/>
          <w:sz w:val="24"/>
        </w:rPr>
        <w:t>, 97 NY2d 500 [2002].</w:t>
      </w:r>
    </w:p>
    <w:p w14:paraId="3C9830B8" w14:textId="77777777" w:rsidR="005D696B" w:rsidRDefault="005D696B" w:rsidP="005D696B">
      <w:pPr>
        <w:pStyle w:val="ListParagraph"/>
        <w:rPr>
          <w:rFonts w:ascii="Arial" w:eastAsia="Arial" w:hAnsi="Arial"/>
          <w:i/>
          <w:color w:val="000000"/>
          <w:spacing w:val="8"/>
          <w:sz w:val="24"/>
        </w:rPr>
      </w:pPr>
    </w:p>
    <w:p w14:paraId="7418CE57" w14:textId="77777777" w:rsidR="005D696B" w:rsidRDefault="005D696B" w:rsidP="005D696B">
      <w:pPr>
        <w:numPr>
          <w:ilvl w:val="0"/>
          <w:numId w:val="1"/>
        </w:numPr>
        <w:tabs>
          <w:tab w:val="clear" w:pos="360"/>
          <w:tab w:val="left" w:pos="432"/>
        </w:tabs>
        <w:spacing w:line="287" w:lineRule="exact"/>
        <w:ind w:left="72"/>
        <w:textAlignment w:val="baseline"/>
        <w:rPr>
          <w:rFonts w:ascii="Arial" w:eastAsia="Arial" w:hAnsi="Arial"/>
          <w:color w:val="000000"/>
          <w:sz w:val="24"/>
        </w:rPr>
      </w:pPr>
      <w:r w:rsidRPr="005D696B">
        <w:rPr>
          <w:rFonts w:ascii="Arial" w:eastAsia="Arial" w:hAnsi="Arial"/>
          <w:i/>
          <w:color w:val="000000"/>
          <w:spacing w:val="8"/>
          <w:sz w:val="24"/>
        </w:rPr>
        <w:t>See People v Hicks</w:t>
      </w:r>
      <w:r w:rsidRPr="005D696B">
        <w:rPr>
          <w:rFonts w:ascii="Arial" w:eastAsia="Arial" w:hAnsi="Arial"/>
          <w:color w:val="000000"/>
          <w:spacing w:val="8"/>
          <w:sz w:val="24"/>
        </w:rPr>
        <w:t>, 2 NY3d 750 [2004].</w:t>
      </w:r>
    </w:p>
    <w:p w14:paraId="76B0DAEF" w14:textId="77777777" w:rsidR="005D696B" w:rsidRDefault="005D696B" w:rsidP="005D696B">
      <w:pPr>
        <w:pStyle w:val="ListParagraph"/>
        <w:rPr>
          <w:rFonts w:ascii="Arial" w:eastAsia="Arial" w:hAnsi="Arial"/>
          <w:i/>
          <w:color w:val="000000"/>
          <w:spacing w:val="8"/>
          <w:sz w:val="24"/>
        </w:rPr>
      </w:pPr>
    </w:p>
    <w:p w14:paraId="1E8A54E1" w14:textId="4E1AC588" w:rsidR="00C52410" w:rsidRPr="005D696B" w:rsidRDefault="005D696B" w:rsidP="005D696B">
      <w:pPr>
        <w:numPr>
          <w:ilvl w:val="0"/>
          <w:numId w:val="1"/>
        </w:numPr>
        <w:tabs>
          <w:tab w:val="clear" w:pos="360"/>
          <w:tab w:val="left" w:pos="432"/>
        </w:tabs>
        <w:spacing w:line="287" w:lineRule="exact"/>
        <w:ind w:left="72"/>
        <w:textAlignment w:val="baseline"/>
        <w:rPr>
          <w:rFonts w:ascii="Arial" w:eastAsia="Arial" w:hAnsi="Arial"/>
          <w:color w:val="000000"/>
          <w:sz w:val="24"/>
        </w:rPr>
      </w:pPr>
      <w:r w:rsidRPr="005D696B">
        <w:rPr>
          <w:rFonts w:ascii="Arial" w:eastAsia="Arial" w:hAnsi="Arial"/>
          <w:i/>
          <w:color w:val="000000"/>
          <w:spacing w:val="8"/>
          <w:sz w:val="24"/>
        </w:rPr>
        <w:t>See People v Brown, supra</w:t>
      </w:r>
      <w:r w:rsidRPr="005D696B">
        <w:rPr>
          <w:rFonts w:ascii="Arial" w:eastAsia="Arial" w:hAnsi="Arial"/>
          <w:color w:val="000000"/>
          <w:spacing w:val="8"/>
          <w:sz w:val="24"/>
        </w:rPr>
        <w:t>.</w:t>
      </w:r>
    </w:p>
    <w:p w14:paraId="1E8A54E2" w14:textId="77777777" w:rsidR="00C52410" w:rsidRDefault="00C52410">
      <w:pPr>
        <w:spacing w:before="272" w:after="10158" w:line="271" w:lineRule="exact"/>
        <w:sectPr w:rsidR="00C52410">
          <w:pgSz w:w="12240" w:h="15840"/>
          <w:pgMar w:top="1460" w:right="2157" w:bottom="1044" w:left="2143" w:header="720" w:footer="720" w:gutter="0"/>
          <w:cols w:space="720"/>
        </w:sectPr>
      </w:pPr>
    </w:p>
    <w:p w14:paraId="1E8A54E3" w14:textId="77777777" w:rsidR="00C52410" w:rsidRDefault="005D696B">
      <w:pPr>
        <w:spacing w:before="2" w:line="268" w:lineRule="exact"/>
        <w:jc w:val="center"/>
        <w:textAlignment w:val="baseline"/>
        <w:rPr>
          <w:rFonts w:ascii="Arial" w:eastAsia="Arial" w:hAnsi="Arial"/>
          <w:color w:val="000000"/>
          <w:sz w:val="24"/>
        </w:rPr>
      </w:pPr>
      <w:r>
        <w:rPr>
          <w:rFonts w:ascii="Arial" w:eastAsia="Arial" w:hAnsi="Arial"/>
          <w:color w:val="000000"/>
          <w:sz w:val="24"/>
        </w:rPr>
        <w:t>2</w:t>
      </w:r>
    </w:p>
    <w:sectPr w:rsidR="00C52410">
      <w:type w:val="continuous"/>
      <w:pgSz w:w="12240" w:h="15840"/>
      <w:pgMar w:top="1460" w:right="2154" w:bottom="1044" w:left="214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E461B5"/>
    <w:multiLevelType w:val="multilevel"/>
    <w:tmpl w:val="47AE5FD4"/>
    <w:lvl w:ilvl="0">
      <w:start w:val="1"/>
      <w:numFmt w:val="decimal"/>
      <w:lvlText w:val="%1."/>
      <w:lvlJc w:val="left"/>
      <w:pPr>
        <w:tabs>
          <w:tab w:val="left" w:pos="360"/>
        </w:tabs>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C8C3928"/>
    <w:multiLevelType w:val="multilevel"/>
    <w:tmpl w:val="03DA3F56"/>
    <w:lvl w:ilvl="0">
      <w:start w:val="1"/>
      <w:numFmt w:val="decimal"/>
      <w:lvlText w:val="%1."/>
      <w:lvlJc w:val="left"/>
      <w:pPr>
        <w:tabs>
          <w:tab w:val="left" w:pos="216"/>
        </w:tabs>
      </w:pPr>
      <w:rPr>
        <w:rFonts w:ascii="Arial" w:eastAsia="Arial" w:hAnsi="Arial"/>
        <w: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C52410"/>
    <w:rsid w:val="005D696B"/>
    <w:rsid w:val="00C52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A54D5"/>
  <w15:docId w15:val="{CCDD7DAC-AEB9-45C9-B7B0-1EF0E5F7D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9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161</Words>
  <Characters>918</Characters>
  <Application>Microsoft Office Word</Application>
  <DocSecurity>0</DocSecurity>
  <Lines>7</Lines>
  <Paragraphs>2</Paragraphs>
  <ScaleCrop>false</ScaleCrop>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Hon. William Donnino</cp:lastModifiedBy>
  <cp:revision>2</cp:revision>
  <dcterms:created xsi:type="dcterms:W3CDTF">2017-12-30T20:14:00Z</dcterms:created>
  <dcterms:modified xsi:type="dcterms:W3CDTF">2017-12-30T20:14:00Z</dcterms:modified>
</cp:coreProperties>
</file>