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7A5A" w14:textId="49C55A3A" w:rsidR="003663E4" w:rsidRPr="00C064D2" w:rsidRDefault="001A3F4B" w:rsidP="006C773C">
      <w:pPr>
        <w:spacing w:line="276" w:lineRule="auto"/>
        <w:jc w:val="center"/>
        <w:textAlignment w:val="baseline"/>
        <w:rPr>
          <w:rFonts w:ascii="Arial" w:eastAsia="Arial" w:hAnsi="Arial" w:cs="Arial"/>
          <w:b/>
          <w:spacing w:val="10"/>
          <w:sz w:val="28"/>
          <w:szCs w:val="28"/>
        </w:rPr>
      </w:pPr>
      <w:r w:rsidRPr="00C064D2">
        <w:rPr>
          <w:rFonts w:ascii="Arial" w:eastAsia="Arial" w:hAnsi="Arial" w:cs="Arial"/>
          <w:b/>
          <w:spacing w:val="10"/>
          <w:sz w:val="28"/>
          <w:szCs w:val="28"/>
        </w:rPr>
        <w:t>TEMPORARY AND LAWFUL POSSESSION</w:t>
      </w:r>
    </w:p>
    <w:p w14:paraId="197E34FD" w14:textId="60C60F83" w:rsidR="001A3F4B" w:rsidRPr="00C064D2" w:rsidRDefault="00713A69" w:rsidP="006C773C">
      <w:pPr>
        <w:spacing w:line="276" w:lineRule="auto"/>
        <w:jc w:val="center"/>
        <w:textAlignment w:val="baseline"/>
        <w:rPr>
          <w:rFonts w:ascii="Arial" w:eastAsia="Arial" w:hAnsi="Arial" w:cs="Arial"/>
          <w:bCs/>
          <w:spacing w:val="10"/>
          <w:sz w:val="24"/>
          <w:szCs w:val="24"/>
        </w:rPr>
      </w:pPr>
      <w:r w:rsidRPr="00C064D2">
        <w:rPr>
          <w:rFonts w:ascii="Arial" w:eastAsia="Arial" w:hAnsi="Arial" w:cs="Arial"/>
          <w:bCs/>
          <w:spacing w:val="10"/>
        </w:rPr>
        <w:t>(</w:t>
      </w:r>
      <w:r w:rsidR="00692940" w:rsidRPr="00C064D2">
        <w:rPr>
          <w:rFonts w:ascii="Arial" w:eastAsia="Arial" w:hAnsi="Arial" w:cs="Arial"/>
          <w:bCs/>
          <w:spacing w:val="10"/>
        </w:rPr>
        <w:t>Revised May 2021</w:t>
      </w:r>
      <w:r w:rsidR="00867F4E" w:rsidRPr="00C064D2">
        <w:rPr>
          <w:rFonts w:ascii="Arial" w:eastAsia="Arial" w:hAnsi="Arial" w:cs="Arial"/>
          <w:bCs/>
          <w:spacing w:val="10"/>
        </w:rPr>
        <w:t xml:space="preserve"> &amp; Dec. 2023</w:t>
      </w:r>
      <w:r w:rsidRPr="00C064D2">
        <w:rPr>
          <w:rFonts w:ascii="Arial" w:eastAsia="Arial" w:hAnsi="Arial" w:cs="Arial"/>
          <w:bCs/>
          <w:spacing w:val="10"/>
        </w:rPr>
        <w:t>)</w:t>
      </w:r>
      <w:r w:rsidR="001A3F4B" w:rsidRPr="00C064D2">
        <w:rPr>
          <w:rStyle w:val="EndnoteReference"/>
          <w:rFonts w:ascii="Arial" w:eastAsia="Arial" w:hAnsi="Arial" w:cs="Arial"/>
          <w:bCs/>
          <w:spacing w:val="10"/>
          <w:sz w:val="24"/>
          <w:szCs w:val="24"/>
        </w:rPr>
        <w:endnoteReference w:id="1"/>
      </w:r>
    </w:p>
    <w:p w14:paraId="5155F31D" w14:textId="77777777" w:rsidR="00DA0C47" w:rsidRPr="00C064D2" w:rsidRDefault="00DA0C47" w:rsidP="006C773C">
      <w:pPr>
        <w:spacing w:line="276" w:lineRule="auto"/>
        <w:jc w:val="center"/>
        <w:textAlignment w:val="baseline"/>
        <w:rPr>
          <w:rFonts w:ascii="Arial" w:eastAsia="Arial" w:hAnsi="Arial" w:cs="Arial"/>
          <w:b/>
          <w:spacing w:val="10"/>
          <w:sz w:val="28"/>
          <w:szCs w:val="28"/>
        </w:rPr>
      </w:pPr>
    </w:p>
    <w:p w14:paraId="0534BFC5" w14:textId="73248543" w:rsidR="00520575" w:rsidRPr="00C064D2" w:rsidRDefault="00E926DF" w:rsidP="00B1650A">
      <w:pPr>
        <w:spacing w:before="0" w:after="120"/>
        <w:ind w:firstLine="648"/>
        <w:jc w:val="both"/>
        <w:textAlignment w:val="baseline"/>
        <w:rPr>
          <w:rFonts w:ascii="Arial" w:eastAsia="Arial" w:hAnsi="Arial" w:cs="Arial"/>
          <w:sz w:val="28"/>
          <w:szCs w:val="28"/>
        </w:rPr>
      </w:pPr>
      <w:r w:rsidRPr="00C064D2">
        <w:rPr>
          <w:rFonts w:ascii="Arial" w:eastAsia="Arial" w:hAnsi="Arial" w:cs="Arial"/>
          <w:sz w:val="28"/>
          <w:szCs w:val="28"/>
        </w:rPr>
        <w:t xml:space="preserve">The defendant </w:t>
      </w:r>
      <w:r w:rsidR="0000137C" w:rsidRPr="00C064D2">
        <w:rPr>
          <w:rFonts w:ascii="Arial" w:eastAsia="Arial" w:hAnsi="Arial" w:cs="Arial"/>
          <w:sz w:val="28"/>
          <w:szCs w:val="28"/>
        </w:rPr>
        <w:t>[</w:t>
      </w:r>
      <w:r w:rsidRPr="00C064D2">
        <w:rPr>
          <w:rFonts w:ascii="Arial" w:eastAsia="Arial" w:hAnsi="Arial" w:cs="Arial"/>
          <w:sz w:val="28"/>
          <w:szCs w:val="28"/>
        </w:rPr>
        <w:t>as you are aware</w:t>
      </w:r>
      <w:r w:rsidR="0000137C" w:rsidRPr="00C064D2">
        <w:rPr>
          <w:rFonts w:ascii="Arial" w:eastAsia="Arial" w:hAnsi="Arial" w:cs="Arial"/>
          <w:sz w:val="28"/>
          <w:szCs w:val="28"/>
        </w:rPr>
        <w:t>]</w:t>
      </w:r>
      <w:r w:rsidRPr="00C064D2">
        <w:rPr>
          <w:rFonts w:ascii="Arial" w:eastAsia="Arial" w:hAnsi="Arial" w:cs="Arial"/>
          <w:sz w:val="28"/>
          <w:szCs w:val="28"/>
        </w:rPr>
        <w:t xml:space="preserve"> has raised the defense of </w:t>
      </w:r>
      <w:r w:rsidR="006D5F44" w:rsidRPr="00C064D2">
        <w:rPr>
          <w:rFonts w:ascii="Arial" w:eastAsia="Arial" w:hAnsi="Arial" w:cs="Arial"/>
          <w:sz w:val="28"/>
          <w:szCs w:val="28"/>
        </w:rPr>
        <w:t>innocen</w:t>
      </w:r>
      <w:r w:rsidR="00B830D2" w:rsidRPr="00C064D2">
        <w:rPr>
          <w:rFonts w:ascii="Arial" w:eastAsia="Arial" w:hAnsi="Arial" w:cs="Arial"/>
          <w:sz w:val="28"/>
          <w:szCs w:val="28"/>
        </w:rPr>
        <w:t>t</w:t>
      </w:r>
      <w:r w:rsidR="006D5F44" w:rsidRPr="00C064D2">
        <w:rPr>
          <w:rFonts w:ascii="Arial" w:eastAsia="Arial" w:hAnsi="Arial" w:cs="Arial"/>
          <w:sz w:val="28"/>
          <w:szCs w:val="28"/>
        </w:rPr>
        <w:t xml:space="preserve"> possession</w:t>
      </w:r>
      <w:r w:rsidR="00520575" w:rsidRPr="00C064D2">
        <w:rPr>
          <w:rFonts w:ascii="Arial" w:eastAsia="Arial" w:hAnsi="Arial" w:cs="Arial"/>
          <w:sz w:val="28"/>
          <w:szCs w:val="28"/>
        </w:rPr>
        <w:t xml:space="preserve"> of (</w:t>
      </w:r>
      <w:r w:rsidR="00520575" w:rsidRPr="00C064D2">
        <w:rPr>
          <w:rFonts w:ascii="Arial" w:eastAsia="Arial" w:hAnsi="Arial" w:cs="Arial"/>
          <w:i/>
          <w:iCs/>
          <w:sz w:val="28"/>
          <w:szCs w:val="28"/>
          <w:u w:val="single"/>
        </w:rPr>
        <w:t>specify weapon</w:t>
      </w:r>
      <w:r w:rsidR="00520575" w:rsidRPr="00C064D2">
        <w:rPr>
          <w:rFonts w:ascii="Arial" w:eastAsia="Arial" w:hAnsi="Arial" w:cs="Arial"/>
          <w:sz w:val="28"/>
          <w:szCs w:val="28"/>
        </w:rPr>
        <w:t>).</w:t>
      </w:r>
      <w:r w:rsidR="00E71EA2" w:rsidRPr="00C064D2">
        <w:rPr>
          <w:rStyle w:val="EndnoteReference"/>
          <w:rFonts w:ascii="Arial" w:eastAsia="Arial" w:hAnsi="Arial" w:cs="Arial"/>
          <w:sz w:val="28"/>
          <w:szCs w:val="28"/>
        </w:rPr>
        <w:t xml:space="preserve"> </w:t>
      </w:r>
      <w:r w:rsidR="00E71EA2" w:rsidRPr="00C064D2">
        <w:rPr>
          <w:rStyle w:val="EndnoteReference"/>
          <w:rFonts w:ascii="Arial" w:eastAsia="Arial" w:hAnsi="Arial" w:cs="Arial"/>
          <w:sz w:val="28"/>
          <w:szCs w:val="28"/>
        </w:rPr>
        <w:endnoteReference w:id="2"/>
      </w:r>
    </w:p>
    <w:p w14:paraId="29BB4AD3" w14:textId="4488E723" w:rsidR="007F596E" w:rsidRPr="00C064D2" w:rsidRDefault="00E926DF" w:rsidP="00B1650A">
      <w:pPr>
        <w:spacing w:before="0" w:after="120"/>
        <w:ind w:firstLine="648"/>
        <w:jc w:val="both"/>
        <w:textAlignment w:val="baseline"/>
        <w:rPr>
          <w:rFonts w:ascii="Arial" w:eastAsia="Arial" w:hAnsi="Arial" w:cs="Arial"/>
          <w:sz w:val="28"/>
          <w:szCs w:val="28"/>
        </w:rPr>
      </w:pPr>
      <w:r w:rsidRPr="00C064D2">
        <w:rPr>
          <w:rFonts w:ascii="Arial" w:eastAsia="Arial" w:hAnsi="Arial" w:cs="Arial"/>
          <w:sz w:val="28"/>
          <w:szCs w:val="28"/>
        </w:rPr>
        <w:t xml:space="preserve"> </w:t>
      </w:r>
      <w:r w:rsidR="00A97E1E" w:rsidRPr="00C064D2">
        <w:rPr>
          <w:rFonts w:ascii="Arial" w:eastAsia="Arial" w:hAnsi="Arial" w:cs="Arial"/>
          <w:sz w:val="28"/>
          <w:szCs w:val="28"/>
        </w:rPr>
        <w:t>Under our law, in certain circumstances, the possession of a weapon may be innocent and not criminal. Innocent possession of a weapon is possession that is temporary and not for an unlawful purpose.</w:t>
      </w:r>
      <w:r w:rsidR="00E71EA2" w:rsidRPr="00C064D2">
        <w:rPr>
          <w:rFonts w:ascii="Arial" w:eastAsia="Arial" w:hAnsi="Arial" w:cs="Arial"/>
          <w:sz w:val="28"/>
          <w:szCs w:val="28"/>
        </w:rPr>
        <w:t xml:space="preserve"> </w:t>
      </w:r>
    </w:p>
    <w:p w14:paraId="2427CD4B" w14:textId="7F61371A" w:rsidR="00787125" w:rsidRPr="00C064D2" w:rsidRDefault="007F596E" w:rsidP="00B1650A">
      <w:pPr>
        <w:spacing w:before="0" w:after="240"/>
        <w:ind w:firstLine="648"/>
        <w:jc w:val="both"/>
        <w:rPr>
          <w:rFonts w:ascii="Arial" w:eastAsia="Times New Roman" w:hAnsi="Arial"/>
          <w:sz w:val="28"/>
          <w:szCs w:val="28"/>
        </w:rPr>
      </w:pPr>
      <w:r w:rsidRPr="00C064D2">
        <w:rPr>
          <w:rFonts w:ascii="Arial" w:eastAsia="Arial" w:hAnsi="Arial" w:cs="Arial"/>
          <w:sz w:val="28"/>
          <w:szCs w:val="28"/>
        </w:rPr>
        <w:t xml:space="preserve">A person has innocent possession of a weapon when </w:t>
      </w:r>
      <w:r w:rsidR="002D7BBC" w:rsidRPr="00C064D2">
        <w:rPr>
          <w:rFonts w:ascii="Arial" w:eastAsia="Arial" w:hAnsi="Arial" w:cs="Arial"/>
          <w:sz w:val="28"/>
          <w:szCs w:val="28"/>
        </w:rPr>
        <w:t xml:space="preserve">that person </w:t>
      </w:r>
      <w:r w:rsidRPr="00C064D2">
        <w:rPr>
          <w:rFonts w:ascii="Arial" w:eastAsia="Arial" w:hAnsi="Arial" w:cs="Arial"/>
          <w:sz w:val="28"/>
          <w:szCs w:val="28"/>
        </w:rPr>
        <w:t>comes into possession of the weapon in an excusable manner</w:t>
      </w:r>
      <w:r w:rsidR="004C23CA" w:rsidRPr="00C064D2">
        <w:rPr>
          <w:rFonts w:ascii="Arial" w:eastAsia="Arial" w:hAnsi="Arial" w:cs="Arial"/>
          <w:sz w:val="28"/>
          <w:szCs w:val="28"/>
        </w:rPr>
        <w:t>;</w:t>
      </w:r>
      <w:r w:rsidR="002D76D8" w:rsidRPr="00C064D2">
        <w:rPr>
          <w:rFonts w:ascii="Arial" w:eastAsia="Arial" w:hAnsi="Arial" w:cs="Arial"/>
          <w:sz w:val="28"/>
          <w:szCs w:val="28"/>
        </w:rPr>
        <w:t xml:space="preserve"> </w:t>
      </w:r>
      <w:r w:rsidR="00512202" w:rsidRPr="00C064D2">
        <w:rPr>
          <w:rFonts w:ascii="Arial" w:eastAsia="Arial" w:hAnsi="Arial" w:cs="Arial"/>
          <w:sz w:val="28"/>
          <w:szCs w:val="28"/>
        </w:rPr>
        <w:t xml:space="preserve">does not use it in </w:t>
      </w:r>
      <w:r w:rsidR="008F5F7E" w:rsidRPr="00C064D2">
        <w:rPr>
          <w:rFonts w:ascii="Arial" w:eastAsia="Arial" w:hAnsi="Arial" w:cs="Arial"/>
          <w:sz w:val="28"/>
          <w:szCs w:val="28"/>
        </w:rPr>
        <w:t xml:space="preserve">a </w:t>
      </w:r>
      <w:r w:rsidR="004C23CA" w:rsidRPr="00C064D2">
        <w:rPr>
          <w:rFonts w:ascii="Arial" w:eastAsia="Arial" w:hAnsi="Arial" w:cs="Arial"/>
          <w:sz w:val="28"/>
          <w:szCs w:val="28"/>
        </w:rPr>
        <w:t xml:space="preserve">reckless and dangerous manner; </w:t>
      </w:r>
      <w:r w:rsidRPr="00C064D2">
        <w:rPr>
          <w:rFonts w:ascii="Arial" w:eastAsia="Arial" w:hAnsi="Arial" w:cs="Arial"/>
          <w:sz w:val="28"/>
          <w:szCs w:val="28"/>
        </w:rPr>
        <w:t>and maintains possession, or intends to maintain possession, of the weapon only long enough to dispose of it safely.</w:t>
      </w:r>
      <w:r w:rsidR="00787125" w:rsidRPr="00C064D2">
        <w:rPr>
          <w:rStyle w:val="EndnoteReference"/>
          <w:rFonts w:ascii="Arial" w:eastAsia="Arial" w:hAnsi="Arial" w:cs="Arial"/>
          <w:sz w:val="28"/>
          <w:szCs w:val="28"/>
        </w:rPr>
        <w:endnoteReference w:id="3"/>
      </w:r>
      <w:r w:rsidR="00192156" w:rsidRPr="00C064D2">
        <w:rPr>
          <w:rFonts w:ascii="Arial" w:eastAsia="Arial" w:hAnsi="Arial" w:cs="Arial"/>
          <w:sz w:val="28"/>
          <w:szCs w:val="28"/>
        </w:rPr>
        <w:t xml:space="preserve"> </w:t>
      </w:r>
      <w:r w:rsidR="00BC04A7" w:rsidRPr="00C064D2">
        <w:rPr>
          <w:rFonts w:ascii="Arial" w:eastAsia="Times New Roman" w:hAnsi="Arial"/>
          <w:sz w:val="28"/>
          <w:szCs w:val="28"/>
        </w:rPr>
        <w:t xml:space="preserve"> </w:t>
      </w:r>
    </w:p>
    <w:p w14:paraId="65B491FB" w14:textId="558C68DB" w:rsidR="00F04F67" w:rsidRPr="00C064D2" w:rsidRDefault="00203D2A" w:rsidP="00B1650A">
      <w:pPr>
        <w:spacing w:before="0" w:after="240"/>
        <w:ind w:firstLine="648"/>
        <w:jc w:val="both"/>
        <w:rPr>
          <w:rFonts w:ascii="Arial" w:eastAsia="Times New Roman" w:hAnsi="Arial"/>
          <w:sz w:val="28"/>
          <w:szCs w:val="28"/>
        </w:rPr>
      </w:pPr>
      <w:r w:rsidRPr="00C064D2">
        <w:rPr>
          <w:rFonts w:ascii="Arial" w:eastAsia="Times New Roman" w:hAnsi="Arial"/>
          <w:sz w:val="28"/>
          <w:szCs w:val="28"/>
        </w:rPr>
        <w:t>Taking</w:t>
      </w:r>
      <w:r w:rsidR="00AA1697" w:rsidRPr="00C064D2">
        <w:rPr>
          <w:rFonts w:ascii="Arial" w:eastAsia="Times New Roman" w:hAnsi="Arial"/>
          <w:sz w:val="28"/>
          <w:szCs w:val="28"/>
        </w:rPr>
        <w:t xml:space="preserve"> possession of a weapon for any period of time for the general purpose of protection in the future is not excusable and does not constitute innocent possession.</w:t>
      </w:r>
      <w:r w:rsidR="00787125" w:rsidRPr="00C064D2">
        <w:rPr>
          <w:rStyle w:val="EndnoteReference"/>
          <w:rFonts w:ascii="Arial" w:eastAsia="Times New Roman" w:hAnsi="Arial"/>
          <w:sz w:val="28"/>
          <w:szCs w:val="28"/>
        </w:rPr>
        <w:endnoteReference w:id="4"/>
      </w:r>
      <w:r w:rsidR="00B56D60" w:rsidRPr="00C064D2">
        <w:rPr>
          <w:rFonts w:ascii="Arial" w:eastAsia="Times New Roman" w:hAnsi="Arial"/>
          <w:sz w:val="28"/>
          <w:szCs w:val="28"/>
        </w:rPr>
        <w:t xml:space="preserve"> </w:t>
      </w:r>
    </w:p>
    <w:p w14:paraId="074B127D" w14:textId="6E664D68" w:rsidR="00DF722F" w:rsidRPr="00C064D2" w:rsidRDefault="003431CC" w:rsidP="00A052F7">
      <w:pPr>
        <w:spacing w:before="0" w:after="240" w:line="276" w:lineRule="auto"/>
        <w:ind w:firstLine="648"/>
        <w:jc w:val="both"/>
        <w:rPr>
          <w:rFonts w:ascii="Arial" w:eastAsia="Arial" w:hAnsi="Arial" w:cs="Arial"/>
          <w:sz w:val="28"/>
          <w:szCs w:val="28"/>
        </w:rPr>
      </w:pPr>
      <w:r w:rsidRPr="00C064D2">
        <w:rPr>
          <w:rFonts w:ascii="Arial" w:eastAsia="Arial" w:hAnsi="Arial" w:cs="Arial"/>
          <w:sz w:val="28"/>
          <w:szCs w:val="28"/>
        </w:rPr>
        <w:t>The defen</w:t>
      </w:r>
      <w:r w:rsidR="005D313E" w:rsidRPr="00C064D2">
        <w:rPr>
          <w:rFonts w:ascii="Arial" w:eastAsia="Arial" w:hAnsi="Arial" w:cs="Arial"/>
          <w:sz w:val="28"/>
          <w:szCs w:val="28"/>
        </w:rPr>
        <w:t>se</w:t>
      </w:r>
      <w:r w:rsidRPr="00C064D2">
        <w:rPr>
          <w:rFonts w:ascii="Arial" w:eastAsia="Arial" w:hAnsi="Arial" w:cs="Arial"/>
          <w:sz w:val="28"/>
          <w:szCs w:val="28"/>
        </w:rPr>
        <w:t xml:space="preserve"> contends</w:t>
      </w:r>
      <w:r w:rsidR="005D313E" w:rsidRPr="00C064D2">
        <w:rPr>
          <w:rFonts w:ascii="Arial" w:eastAsia="Arial" w:hAnsi="Arial" w:cs="Arial"/>
          <w:sz w:val="28"/>
          <w:szCs w:val="28"/>
        </w:rPr>
        <w:t xml:space="preserve"> that the defendant</w:t>
      </w:r>
      <w:r w:rsidR="00DF722F" w:rsidRPr="00C064D2">
        <w:rPr>
          <w:rFonts w:ascii="Arial" w:eastAsia="Arial" w:hAnsi="Arial" w:cs="Arial"/>
          <w:sz w:val="28"/>
          <w:szCs w:val="28"/>
        </w:rPr>
        <w:t>:</w:t>
      </w:r>
      <w:r w:rsidRPr="00C064D2">
        <w:rPr>
          <w:rFonts w:ascii="Arial" w:eastAsia="Arial" w:hAnsi="Arial" w:cs="Arial"/>
          <w:sz w:val="28"/>
          <w:szCs w:val="28"/>
        </w:rPr>
        <w:t xml:space="preserve"> </w:t>
      </w:r>
    </w:p>
    <w:p w14:paraId="0893499A" w14:textId="768E49EE" w:rsidR="00586414" w:rsidRDefault="003431CC" w:rsidP="00B1650A">
      <w:pPr>
        <w:spacing w:before="0" w:after="120"/>
        <w:ind w:firstLine="648"/>
        <w:jc w:val="both"/>
        <w:rPr>
          <w:rFonts w:ascii="Arial" w:eastAsia="Arial" w:hAnsi="Arial" w:cs="Arial"/>
          <w:sz w:val="28"/>
          <w:szCs w:val="28"/>
        </w:rPr>
      </w:pPr>
      <w:r w:rsidRPr="00C064D2">
        <w:rPr>
          <w:rFonts w:ascii="Arial" w:eastAsia="Arial" w:hAnsi="Arial" w:cs="Arial"/>
          <w:sz w:val="28"/>
          <w:szCs w:val="28"/>
        </w:rPr>
        <w:t>(</w:t>
      </w:r>
      <w:r w:rsidRPr="00C064D2">
        <w:rPr>
          <w:rFonts w:ascii="Arial" w:eastAsia="Arial" w:hAnsi="Arial" w:cs="Arial"/>
          <w:i/>
          <w:iCs/>
          <w:sz w:val="28"/>
          <w:szCs w:val="28"/>
          <w:u w:val="single"/>
        </w:rPr>
        <w:t>specify</w:t>
      </w:r>
      <w:r w:rsidR="00FD0416" w:rsidRPr="00C064D2">
        <w:rPr>
          <w:rFonts w:ascii="Arial" w:eastAsia="Arial" w:hAnsi="Arial" w:cs="Arial"/>
          <w:i/>
          <w:iCs/>
          <w:sz w:val="28"/>
          <w:szCs w:val="28"/>
          <w:u w:val="single"/>
        </w:rPr>
        <w:t>,</w:t>
      </w:r>
      <w:r w:rsidRPr="00C064D2">
        <w:rPr>
          <w:rFonts w:ascii="Arial" w:eastAsia="Arial" w:hAnsi="Arial" w:cs="Arial"/>
          <w:i/>
          <w:iCs/>
          <w:sz w:val="28"/>
          <w:szCs w:val="28"/>
        </w:rPr>
        <w:t xml:space="preserve"> e.g.</w:t>
      </w:r>
      <w:r w:rsidR="00214ED1" w:rsidRPr="00C064D2">
        <w:rPr>
          <w:rFonts w:ascii="Arial" w:eastAsia="Arial" w:hAnsi="Arial" w:cs="Arial"/>
          <w:i/>
          <w:iCs/>
          <w:sz w:val="28"/>
          <w:szCs w:val="28"/>
        </w:rPr>
        <w:t>:</w:t>
      </w:r>
      <w:r w:rsidR="00FD0416" w:rsidRPr="00C064D2">
        <w:rPr>
          <w:rFonts w:ascii="Arial" w:eastAsia="Arial" w:hAnsi="Arial" w:cs="Arial"/>
          <w:i/>
          <w:iCs/>
          <w:sz w:val="28"/>
          <w:szCs w:val="28"/>
        </w:rPr>
        <w:t xml:space="preserve"> </w:t>
      </w:r>
      <w:r w:rsidRPr="00C064D2">
        <w:rPr>
          <w:rFonts w:ascii="Arial" w:eastAsia="Arial" w:hAnsi="Arial" w:cs="Arial"/>
          <w:i/>
          <w:iCs/>
          <w:sz w:val="28"/>
          <w:szCs w:val="28"/>
        </w:rPr>
        <w:t>found</w:t>
      </w:r>
      <w:r w:rsidR="00FD0416" w:rsidRPr="00C064D2">
        <w:rPr>
          <w:rFonts w:ascii="Arial" w:eastAsia="Arial" w:hAnsi="Arial" w:cs="Arial"/>
          <w:i/>
          <w:iCs/>
          <w:sz w:val="28"/>
          <w:szCs w:val="28"/>
        </w:rPr>
        <w:t xml:space="preserve"> the weapon</w:t>
      </w:r>
      <w:r w:rsidR="009B3BBA" w:rsidRPr="00C064D2">
        <w:rPr>
          <w:rFonts w:ascii="Arial" w:eastAsia="Arial" w:hAnsi="Arial" w:cs="Arial"/>
          <w:i/>
          <w:iCs/>
          <w:sz w:val="28"/>
          <w:szCs w:val="28"/>
        </w:rPr>
        <w:t xml:space="preserve">; </w:t>
      </w:r>
      <w:r w:rsidR="00FD0416" w:rsidRPr="00C064D2">
        <w:rPr>
          <w:rFonts w:ascii="Arial" w:eastAsia="Arial" w:hAnsi="Arial" w:cs="Arial"/>
          <w:i/>
          <w:iCs/>
          <w:sz w:val="28"/>
          <w:szCs w:val="28"/>
        </w:rPr>
        <w:t>disarmed an assailant</w:t>
      </w:r>
      <w:r w:rsidR="00EA2A0D" w:rsidRPr="00C064D2">
        <w:rPr>
          <w:rFonts w:ascii="Arial" w:eastAsia="Arial" w:hAnsi="Arial" w:cs="Arial"/>
          <w:i/>
          <w:iCs/>
          <w:sz w:val="28"/>
          <w:szCs w:val="28"/>
        </w:rPr>
        <w:t xml:space="preserve"> </w:t>
      </w:r>
      <w:r w:rsidR="00DF722F" w:rsidRPr="00C064D2">
        <w:rPr>
          <w:rFonts w:ascii="Arial" w:eastAsia="Arial" w:hAnsi="Arial" w:cs="Arial"/>
          <w:i/>
          <w:iCs/>
          <w:sz w:val="28"/>
          <w:szCs w:val="28"/>
        </w:rPr>
        <w:tab/>
      </w:r>
      <w:r w:rsidR="001D1538" w:rsidRPr="00C064D2">
        <w:rPr>
          <w:rFonts w:ascii="Arial" w:eastAsia="Arial" w:hAnsi="Arial" w:cs="Arial"/>
          <w:i/>
          <w:iCs/>
          <w:sz w:val="28"/>
          <w:szCs w:val="28"/>
        </w:rPr>
        <w:t>[</w:t>
      </w:r>
      <w:r w:rsidR="00EA2A0D" w:rsidRPr="00C064D2">
        <w:rPr>
          <w:rFonts w:ascii="Arial" w:eastAsia="Arial" w:hAnsi="Arial" w:cs="Arial"/>
          <w:i/>
          <w:iCs/>
          <w:sz w:val="28"/>
          <w:szCs w:val="28"/>
        </w:rPr>
        <w:t xml:space="preserve">and used </w:t>
      </w:r>
      <w:r w:rsidR="001C54D8" w:rsidRPr="00C064D2">
        <w:rPr>
          <w:rFonts w:ascii="Arial" w:eastAsia="Arial" w:hAnsi="Arial" w:cs="Arial"/>
          <w:i/>
          <w:iCs/>
          <w:sz w:val="28"/>
          <w:szCs w:val="28"/>
        </w:rPr>
        <w:t>it</w:t>
      </w:r>
      <w:r w:rsidR="00EA2A0D" w:rsidRPr="00C064D2">
        <w:rPr>
          <w:rFonts w:ascii="Arial" w:eastAsia="Arial" w:hAnsi="Arial" w:cs="Arial"/>
          <w:i/>
          <w:iCs/>
          <w:sz w:val="28"/>
          <w:szCs w:val="28"/>
        </w:rPr>
        <w:t xml:space="preserve"> justifiably in self-defense</w:t>
      </w:r>
      <w:r w:rsidR="001D1538" w:rsidRPr="00C064D2">
        <w:rPr>
          <w:rFonts w:ascii="Arial" w:eastAsia="Arial" w:hAnsi="Arial" w:cs="Arial"/>
          <w:i/>
          <w:iCs/>
          <w:sz w:val="28"/>
          <w:szCs w:val="28"/>
        </w:rPr>
        <w:t>]</w:t>
      </w:r>
      <w:r w:rsidR="009B3BBA" w:rsidRPr="00C064D2">
        <w:rPr>
          <w:rFonts w:ascii="Arial" w:eastAsia="Arial" w:hAnsi="Arial" w:cs="Arial"/>
          <w:i/>
          <w:iCs/>
          <w:sz w:val="28"/>
          <w:szCs w:val="28"/>
        </w:rPr>
        <w:t>;</w:t>
      </w:r>
      <w:r w:rsidR="00B678FA" w:rsidRPr="00C064D2">
        <w:rPr>
          <w:rFonts w:ascii="Arial" w:eastAsia="Arial" w:hAnsi="Arial" w:cs="Arial"/>
          <w:i/>
          <w:iCs/>
          <w:sz w:val="28"/>
          <w:szCs w:val="28"/>
        </w:rPr>
        <w:t xml:space="preserve"> </w:t>
      </w:r>
      <w:r w:rsidR="002A55C9" w:rsidRPr="00C064D2">
        <w:rPr>
          <w:rFonts w:ascii="Arial" w:eastAsia="Arial" w:hAnsi="Arial" w:cs="Arial"/>
          <w:i/>
          <w:iCs/>
          <w:sz w:val="28"/>
          <w:szCs w:val="28"/>
        </w:rPr>
        <w:t xml:space="preserve">intended to </w:t>
      </w:r>
      <w:r w:rsidR="00B678FA" w:rsidRPr="00C064D2">
        <w:rPr>
          <w:rFonts w:ascii="Arial" w:eastAsia="Arial" w:hAnsi="Arial" w:cs="Arial"/>
          <w:i/>
          <w:iCs/>
          <w:sz w:val="28"/>
          <w:szCs w:val="28"/>
        </w:rPr>
        <w:t xml:space="preserve">turn it </w:t>
      </w:r>
      <w:r w:rsidR="00DF722F" w:rsidRPr="00C064D2">
        <w:rPr>
          <w:rFonts w:ascii="Arial" w:eastAsia="Arial" w:hAnsi="Arial" w:cs="Arial"/>
          <w:i/>
          <w:iCs/>
          <w:sz w:val="28"/>
          <w:szCs w:val="28"/>
        </w:rPr>
        <w:tab/>
      </w:r>
      <w:r w:rsidR="00B678FA" w:rsidRPr="00C064D2">
        <w:rPr>
          <w:rFonts w:ascii="Arial" w:eastAsia="Arial" w:hAnsi="Arial" w:cs="Arial"/>
          <w:i/>
          <w:iCs/>
          <w:sz w:val="28"/>
          <w:szCs w:val="28"/>
        </w:rPr>
        <w:t>over to the police</w:t>
      </w:r>
      <w:r w:rsidR="00DA57F7" w:rsidRPr="00C064D2">
        <w:rPr>
          <w:rFonts w:ascii="Arial" w:eastAsia="Arial" w:hAnsi="Arial" w:cs="Arial"/>
          <w:i/>
          <w:iCs/>
          <w:sz w:val="28"/>
          <w:szCs w:val="28"/>
        </w:rPr>
        <w:t>;</w:t>
      </w:r>
      <w:r w:rsidR="00927CA8" w:rsidRPr="00C064D2">
        <w:rPr>
          <w:rFonts w:ascii="Arial" w:eastAsia="Arial" w:hAnsi="Arial" w:cs="Arial"/>
          <w:i/>
          <w:iCs/>
          <w:sz w:val="28"/>
          <w:szCs w:val="28"/>
        </w:rPr>
        <w:t xml:space="preserve"> was</w:t>
      </w:r>
      <w:r w:rsidR="00DC7567" w:rsidRPr="00C064D2">
        <w:rPr>
          <w:rFonts w:ascii="Arial" w:eastAsia="Arial" w:hAnsi="Arial" w:cs="Arial"/>
          <w:i/>
          <w:iCs/>
          <w:sz w:val="28"/>
          <w:szCs w:val="28"/>
        </w:rPr>
        <w:t xml:space="preserve"> about to</w:t>
      </w:r>
      <w:r w:rsidR="00927CA8" w:rsidRPr="00C064D2">
        <w:rPr>
          <w:rFonts w:ascii="Arial" w:eastAsia="Arial" w:hAnsi="Arial" w:cs="Arial"/>
          <w:i/>
          <w:iCs/>
          <w:sz w:val="28"/>
          <w:szCs w:val="28"/>
        </w:rPr>
        <w:t xml:space="preserve"> turn it over to the police </w:t>
      </w:r>
      <w:r w:rsidR="00DF722F" w:rsidRPr="00C064D2">
        <w:rPr>
          <w:rFonts w:ascii="Arial" w:eastAsia="Arial" w:hAnsi="Arial" w:cs="Arial"/>
          <w:i/>
          <w:iCs/>
          <w:sz w:val="28"/>
          <w:szCs w:val="28"/>
        </w:rPr>
        <w:tab/>
      </w:r>
      <w:r w:rsidR="00927CA8" w:rsidRPr="00C064D2">
        <w:rPr>
          <w:rFonts w:ascii="Arial" w:eastAsia="Arial" w:hAnsi="Arial" w:cs="Arial"/>
          <w:i/>
          <w:iCs/>
          <w:sz w:val="28"/>
          <w:szCs w:val="28"/>
        </w:rPr>
        <w:t>when arreste</w:t>
      </w:r>
      <w:r w:rsidR="00D30A71" w:rsidRPr="00C064D2">
        <w:rPr>
          <w:rFonts w:ascii="Arial" w:eastAsia="Arial" w:hAnsi="Arial" w:cs="Arial"/>
          <w:i/>
          <w:iCs/>
          <w:sz w:val="28"/>
          <w:szCs w:val="28"/>
        </w:rPr>
        <w:t>d</w:t>
      </w:r>
      <w:r w:rsidR="00DA57F7" w:rsidRPr="00C064D2">
        <w:rPr>
          <w:rFonts w:ascii="Arial" w:eastAsia="Arial" w:hAnsi="Arial" w:cs="Arial"/>
          <w:i/>
          <w:iCs/>
          <w:sz w:val="28"/>
          <w:szCs w:val="28"/>
        </w:rPr>
        <w:t xml:space="preserve">; </w:t>
      </w:r>
      <w:r w:rsidR="00AC4740" w:rsidRPr="00C064D2">
        <w:rPr>
          <w:rFonts w:ascii="Arial" w:eastAsia="Arial" w:hAnsi="Arial" w:cs="Arial"/>
          <w:i/>
          <w:iCs/>
          <w:sz w:val="28"/>
          <w:szCs w:val="28"/>
        </w:rPr>
        <w:t xml:space="preserve">turned it </w:t>
      </w:r>
      <w:r w:rsidR="008E4927" w:rsidRPr="00C064D2">
        <w:rPr>
          <w:rFonts w:ascii="Arial" w:eastAsia="Arial" w:hAnsi="Arial" w:cs="Arial"/>
          <w:i/>
          <w:iCs/>
          <w:sz w:val="28"/>
          <w:szCs w:val="28"/>
        </w:rPr>
        <w:t>over to</w:t>
      </w:r>
      <w:r w:rsidR="00AC4740" w:rsidRPr="00C064D2">
        <w:rPr>
          <w:rFonts w:ascii="Arial" w:eastAsia="Arial" w:hAnsi="Arial" w:cs="Arial"/>
          <w:i/>
          <w:iCs/>
          <w:sz w:val="28"/>
          <w:szCs w:val="28"/>
        </w:rPr>
        <w:t xml:space="preserve"> the police at the first </w:t>
      </w:r>
      <w:r w:rsidR="00DF722F" w:rsidRPr="00C064D2">
        <w:rPr>
          <w:rFonts w:ascii="Arial" w:eastAsia="Arial" w:hAnsi="Arial" w:cs="Arial"/>
          <w:i/>
          <w:iCs/>
          <w:sz w:val="28"/>
          <w:szCs w:val="28"/>
        </w:rPr>
        <w:tab/>
      </w:r>
      <w:r w:rsidR="00AC4740" w:rsidRPr="00C064D2">
        <w:rPr>
          <w:rFonts w:ascii="Arial" w:eastAsia="Arial" w:hAnsi="Arial" w:cs="Arial"/>
          <w:i/>
          <w:iCs/>
          <w:sz w:val="28"/>
          <w:szCs w:val="28"/>
        </w:rPr>
        <w:t>opportunity</w:t>
      </w:r>
      <w:r w:rsidR="00FD0416" w:rsidRPr="00C064D2">
        <w:rPr>
          <w:rFonts w:ascii="Arial" w:eastAsia="Arial" w:hAnsi="Arial" w:cs="Arial"/>
          <w:sz w:val="28"/>
          <w:szCs w:val="28"/>
        </w:rPr>
        <w:t>).</w:t>
      </w:r>
      <w:r w:rsidR="00C169BE" w:rsidRPr="00C064D2">
        <w:rPr>
          <w:rFonts w:ascii="Arial" w:eastAsia="Arial" w:hAnsi="Arial" w:cs="Arial"/>
          <w:sz w:val="28"/>
          <w:szCs w:val="28"/>
        </w:rPr>
        <w:t xml:space="preserve"> </w:t>
      </w:r>
    </w:p>
    <w:p w14:paraId="448FAFAA" w14:textId="77777777" w:rsidR="001D720F" w:rsidRPr="00C064D2" w:rsidRDefault="001D720F" w:rsidP="00B1650A">
      <w:pPr>
        <w:spacing w:before="0" w:after="120"/>
        <w:ind w:firstLine="648"/>
        <w:jc w:val="both"/>
        <w:rPr>
          <w:rFonts w:ascii="Arial" w:eastAsia="Arial" w:hAnsi="Arial" w:cs="Arial"/>
          <w:sz w:val="28"/>
          <w:szCs w:val="28"/>
        </w:rPr>
      </w:pPr>
    </w:p>
    <w:p w14:paraId="2BF71295" w14:textId="5D5A86F1" w:rsidR="006C773C" w:rsidRPr="00C064D2" w:rsidRDefault="003278A4" w:rsidP="00B1650A">
      <w:pPr>
        <w:spacing w:before="0" w:after="120"/>
        <w:ind w:firstLine="720"/>
        <w:jc w:val="both"/>
        <w:rPr>
          <w:rFonts w:ascii="Arial" w:eastAsia="Arial" w:hAnsi="Arial" w:cs="Arial"/>
          <w:sz w:val="28"/>
          <w:szCs w:val="28"/>
        </w:rPr>
      </w:pPr>
      <w:r w:rsidRPr="00C064D2">
        <w:rPr>
          <w:rFonts w:ascii="Arial" w:eastAsia="Arial" w:hAnsi="Arial" w:cs="Arial"/>
          <w:sz w:val="28"/>
          <w:szCs w:val="28"/>
        </w:rPr>
        <w:t>There is no single factor that by itself determines whether there was innocent possession.</w:t>
      </w:r>
      <w:r w:rsidR="00E93C84" w:rsidRPr="00C064D2">
        <w:rPr>
          <w:rFonts w:ascii="Arial" w:eastAsia="Arial" w:hAnsi="Arial" w:cs="Arial"/>
          <w:sz w:val="28"/>
          <w:szCs w:val="28"/>
        </w:rPr>
        <w:t xml:space="preserve"> </w:t>
      </w:r>
      <w:r w:rsidRPr="00C064D2">
        <w:rPr>
          <w:rFonts w:ascii="Arial" w:eastAsia="Arial" w:hAnsi="Arial" w:cs="Arial"/>
          <w:sz w:val="28"/>
          <w:szCs w:val="28"/>
        </w:rPr>
        <w:t>In making that determination, you may consider</w:t>
      </w:r>
      <w:r w:rsidR="00062DE5" w:rsidRPr="00C064D2">
        <w:rPr>
          <w:rFonts w:ascii="Arial" w:eastAsia="Arial" w:hAnsi="Arial" w:cs="Arial"/>
          <w:sz w:val="28"/>
          <w:szCs w:val="28"/>
        </w:rPr>
        <w:t>:</w:t>
      </w:r>
    </w:p>
    <w:p w14:paraId="3F44A363" w14:textId="77777777" w:rsidR="0063341D" w:rsidRDefault="006041A2" w:rsidP="00B1650A">
      <w:pPr>
        <w:spacing w:before="0"/>
        <w:ind w:left="720" w:right="0"/>
        <w:jc w:val="both"/>
        <w:rPr>
          <w:rFonts w:ascii="Arial" w:eastAsia="Arial" w:hAnsi="Arial" w:cs="Arial"/>
          <w:sz w:val="28"/>
          <w:szCs w:val="28"/>
        </w:rPr>
      </w:pPr>
      <w:r w:rsidRPr="00C064D2">
        <w:rPr>
          <w:rFonts w:ascii="Arial" w:eastAsia="Arial" w:hAnsi="Arial" w:cs="Arial"/>
          <w:sz w:val="28"/>
          <w:szCs w:val="28"/>
        </w:rPr>
        <w:t xml:space="preserve">any evidence which establishes that the defendant had knowing possession of a </w:t>
      </w:r>
      <w:bookmarkStart w:id="0" w:name="_Hlk60506415"/>
      <w:bookmarkStart w:id="1" w:name="_Hlk60504588"/>
      <w:r w:rsidRPr="00C064D2">
        <w:rPr>
          <w:rFonts w:ascii="Arial" w:eastAsia="Arial" w:hAnsi="Arial" w:cs="Arial"/>
          <w:sz w:val="28"/>
          <w:szCs w:val="28"/>
        </w:rPr>
        <w:t>(</w:t>
      </w:r>
      <w:r w:rsidRPr="00C064D2">
        <w:rPr>
          <w:rFonts w:ascii="Arial" w:eastAsia="Arial" w:hAnsi="Arial" w:cs="Arial"/>
          <w:i/>
          <w:iCs/>
          <w:sz w:val="28"/>
          <w:szCs w:val="28"/>
          <w:u w:val="single"/>
        </w:rPr>
        <w:t>specify weapon</w:t>
      </w:r>
      <w:bookmarkEnd w:id="0"/>
      <w:r w:rsidRPr="00C064D2">
        <w:rPr>
          <w:rFonts w:ascii="Arial" w:eastAsia="Arial" w:hAnsi="Arial" w:cs="Arial"/>
          <w:sz w:val="28"/>
          <w:szCs w:val="28"/>
        </w:rPr>
        <w:t xml:space="preserve">); </w:t>
      </w:r>
      <w:bookmarkEnd w:id="1"/>
      <w:r w:rsidRPr="00C064D2">
        <w:rPr>
          <w:rFonts w:ascii="Arial" w:eastAsia="Arial" w:hAnsi="Arial" w:cs="Arial"/>
          <w:sz w:val="28"/>
          <w:szCs w:val="28"/>
        </w:rPr>
        <w:t>and the manner in which the (</w:t>
      </w:r>
      <w:r w:rsidRPr="00C064D2">
        <w:rPr>
          <w:rFonts w:ascii="Arial" w:eastAsia="Arial" w:hAnsi="Arial" w:cs="Arial"/>
          <w:i/>
          <w:iCs/>
          <w:sz w:val="28"/>
          <w:szCs w:val="28"/>
          <w:u w:val="single"/>
        </w:rPr>
        <w:t>specify weapon</w:t>
      </w:r>
      <w:r w:rsidRPr="00C064D2">
        <w:rPr>
          <w:rFonts w:ascii="Arial" w:eastAsia="Arial" w:hAnsi="Arial" w:cs="Arial"/>
          <w:sz w:val="28"/>
          <w:szCs w:val="28"/>
        </w:rPr>
        <w:t xml:space="preserve">) came into the defendant's possession; </w:t>
      </w:r>
    </w:p>
    <w:p w14:paraId="5B813A4B" w14:textId="77777777" w:rsidR="00650020" w:rsidRPr="00C064D2" w:rsidRDefault="00650020" w:rsidP="00B1650A">
      <w:pPr>
        <w:spacing w:before="0"/>
        <w:ind w:left="720" w:right="0"/>
        <w:jc w:val="both"/>
        <w:rPr>
          <w:rFonts w:ascii="Arial" w:eastAsia="Arial" w:hAnsi="Arial" w:cs="Arial"/>
          <w:sz w:val="28"/>
          <w:szCs w:val="28"/>
        </w:rPr>
      </w:pPr>
    </w:p>
    <w:p w14:paraId="036161B0" w14:textId="77777777" w:rsidR="0063341D" w:rsidRPr="00C064D2" w:rsidRDefault="0063341D" w:rsidP="00B1650A">
      <w:pPr>
        <w:spacing w:before="0"/>
        <w:ind w:left="720" w:right="0"/>
        <w:jc w:val="both"/>
        <w:rPr>
          <w:rFonts w:ascii="Arial" w:eastAsia="Arial" w:hAnsi="Arial" w:cs="Arial"/>
          <w:sz w:val="28"/>
          <w:szCs w:val="28"/>
        </w:rPr>
      </w:pPr>
    </w:p>
    <w:p w14:paraId="3EDD6D47" w14:textId="6009D87E" w:rsidR="007C351E" w:rsidRPr="00C064D2" w:rsidRDefault="007C351E" w:rsidP="00650020">
      <w:pPr>
        <w:ind w:left="648" w:right="720"/>
        <w:jc w:val="both"/>
        <w:rPr>
          <w:rFonts w:ascii="Arial" w:eastAsia="Arial" w:hAnsi="Arial" w:cs="Arial"/>
          <w:sz w:val="28"/>
          <w:szCs w:val="28"/>
        </w:rPr>
      </w:pPr>
      <w:r w:rsidRPr="00C064D2">
        <w:rPr>
          <w:rFonts w:ascii="Arial" w:eastAsia="Arial" w:hAnsi="Arial" w:cs="Arial"/>
          <w:i/>
          <w:iCs/>
          <w:sz w:val="28"/>
          <w:szCs w:val="28"/>
          <w:u w:val="single"/>
        </w:rPr>
        <w:t>Note:</w:t>
      </w:r>
      <w:r w:rsidRPr="00C064D2">
        <w:rPr>
          <w:rFonts w:ascii="Arial" w:eastAsia="Arial" w:hAnsi="Arial" w:cs="Arial"/>
          <w:i/>
          <w:iCs/>
          <w:sz w:val="28"/>
          <w:szCs w:val="28"/>
        </w:rPr>
        <w:t xml:space="preserve"> The court should select and tailor</w:t>
      </w:r>
      <w:r w:rsidR="00FF36D6" w:rsidRPr="00C064D2">
        <w:rPr>
          <w:rFonts w:ascii="Arial" w:eastAsia="Arial" w:hAnsi="Arial" w:cs="Arial"/>
          <w:i/>
          <w:iCs/>
          <w:sz w:val="28"/>
          <w:szCs w:val="28"/>
        </w:rPr>
        <w:t xml:space="preserve"> as appropriate</w:t>
      </w:r>
      <w:r w:rsidRPr="00C064D2">
        <w:rPr>
          <w:rFonts w:ascii="Arial" w:eastAsia="Arial" w:hAnsi="Arial" w:cs="Arial"/>
          <w:i/>
          <w:iCs/>
          <w:sz w:val="28"/>
          <w:szCs w:val="28"/>
        </w:rPr>
        <w:t xml:space="preserve"> </w:t>
      </w:r>
      <w:r w:rsidR="00B76343" w:rsidRPr="00C064D2">
        <w:rPr>
          <w:rFonts w:ascii="Arial" w:eastAsia="Arial" w:hAnsi="Arial" w:cs="Arial"/>
          <w:i/>
          <w:iCs/>
          <w:sz w:val="28"/>
          <w:szCs w:val="28"/>
        </w:rPr>
        <w:t xml:space="preserve">any of </w:t>
      </w:r>
      <w:r w:rsidRPr="00C064D2">
        <w:rPr>
          <w:rFonts w:ascii="Arial" w:eastAsia="Arial" w:hAnsi="Arial" w:cs="Arial"/>
          <w:i/>
          <w:iCs/>
          <w:sz w:val="28"/>
          <w:szCs w:val="28"/>
        </w:rPr>
        <w:t>the following</w:t>
      </w:r>
      <w:r w:rsidR="00472DE7" w:rsidRPr="00C064D2">
        <w:rPr>
          <w:rFonts w:ascii="Arial" w:eastAsia="Arial" w:hAnsi="Arial" w:cs="Arial"/>
          <w:i/>
          <w:iCs/>
          <w:sz w:val="28"/>
          <w:szCs w:val="28"/>
        </w:rPr>
        <w:t xml:space="preserve"> </w:t>
      </w:r>
      <w:r w:rsidR="00A82E83" w:rsidRPr="00C064D2">
        <w:rPr>
          <w:rFonts w:ascii="Arial" w:eastAsia="Arial" w:hAnsi="Arial" w:cs="Arial"/>
          <w:i/>
          <w:iCs/>
          <w:sz w:val="28"/>
          <w:szCs w:val="28"/>
        </w:rPr>
        <w:t xml:space="preserve">factors </w:t>
      </w:r>
      <w:r w:rsidR="009738D4" w:rsidRPr="00C064D2">
        <w:rPr>
          <w:rFonts w:ascii="Arial" w:eastAsia="Arial" w:hAnsi="Arial" w:cs="Arial"/>
          <w:i/>
          <w:iCs/>
          <w:sz w:val="28"/>
          <w:szCs w:val="28"/>
        </w:rPr>
        <w:t>or others</w:t>
      </w:r>
      <w:r w:rsidR="00AE7A5E" w:rsidRPr="00C064D2">
        <w:rPr>
          <w:rFonts w:ascii="Arial" w:eastAsia="Arial" w:hAnsi="Arial" w:cs="Arial"/>
          <w:i/>
          <w:iCs/>
          <w:sz w:val="28"/>
          <w:szCs w:val="28"/>
        </w:rPr>
        <w:t xml:space="preserve"> </w:t>
      </w:r>
      <w:r w:rsidR="00A82E83" w:rsidRPr="00C064D2">
        <w:rPr>
          <w:rFonts w:ascii="Arial" w:eastAsia="Arial" w:hAnsi="Arial" w:cs="Arial"/>
          <w:i/>
          <w:iCs/>
          <w:sz w:val="28"/>
          <w:szCs w:val="28"/>
        </w:rPr>
        <w:t xml:space="preserve">that are </w:t>
      </w:r>
      <w:r w:rsidRPr="00C064D2">
        <w:rPr>
          <w:rFonts w:ascii="Arial" w:eastAsia="Arial" w:hAnsi="Arial" w:cs="Arial"/>
          <w:i/>
          <w:iCs/>
          <w:sz w:val="28"/>
          <w:szCs w:val="28"/>
        </w:rPr>
        <w:t xml:space="preserve">relevant </w:t>
      </w:r>
      <w:r w:rsidR="00A82E83" w:rsidRPr="00C064D2">
        <w:rPr>
          <w:rFonts w:ascii="Arial" w:eastAsia="Arial" w:hAnsi="Arial" w:cs="Arial"/>
          <w:i/>
          <w:iCs/>
          <w:sz w:val="28"/>
          <w:szCs w:val="28"/>
        </w:rPr>
        <w:t>to the evidence</w:t>
      </w:r>
      <w:r w:rsidR="004C535B" w:rsidRPr="00C064D2">
        <w:rPr>
          <w:rFonts w:ascii="Arial" w:eastAsia="Arial" w:hAnsi="Arial" w:cs="Arial"/>
          <w:i/>
          <w:iCs/>
          <w:sz w:val="28"/>
          <w:szCs w:val="28"/>
        </w:rPr>
        <w:t xml:space="preserve"> </w:t>
      </w:r>
      <w:r w:rsidR="0054696A" w:rsidRPr="00C064D2">
        <w:rPr>
          <w:rFonts w:ascii="Arial" w:eastAsia="Arial" w:hAnsi="Arial" w:cs="Arial"/>
          <w:i/>
          <w:iCs/>
          <w:sz w:val="28"/>
          <w:szCs w:val="28"/>
        </w:rPr>
        <w:t xml:space="preserve">and the </w:t>
      </w:r>
      <w:r w:rsidRPr="00C064D2">
        <w:rPr>
          <w:rFonts w:ascii="Arial" w:eastAsia="Arial" w:hAnsi="Arial" w:cs="Arial"/>
          <w:i/>
          <w:iCs/>
          <w:sz w:val="28"/>
          <w:szCs w:val="28"/>
        </w:rPr>
        <w:t>defendant’s contentions</w:t>
      </w:r>
      <w:r w:rsidRPr="00C064D2">
        <w:rPr>
          <w:rFonts w:ascii="Arial" w:eastAsia="Arial" w:hAnsi="Arial" w:cs="Arial"/>
          <w:sz w:val="28"/>
          <w:szCs w:val="28"/>
        </w:rPr>
        <w:t>:</w:t>
      </w:r>
    </w:p>
    <w:p w14:paraId="65613B5B" w14:textId="45E4499C" w:rsidR="007F006F" w:rsidRPr="00C064D2" w:rsidRDefault="007F006F" w:rsidP="006C773C">
      <w:pPr>
        <w:spacing w:before="0" w:after="120" w:line="276" w:lineRule="auto"/>
        <w:ind w:left="648"/>
        <w:jc w:val="both"/>
        <w:rPr>
          <w:rFonts w:ascii="Arial" w:eastAsia="Arial" w:hAnsi="Arial" w:cs="Arial"/>
          <w:sz w:val="28"/>
          <w:szCs w:val="28"/>
        </w:rPr>
      </w:pPr>
      <w:r w:rsidRPr="00C064D2">
        <w:rPr>
          <w:rFonts w:ascii="Arial" w:eastAsia="Arial" w:hAnsi="Arial" w:cs="Arial"/>
          <w:sz w:val="28"/>
          <w:szCs w:val="28"/>
        </w:rPr>
        <w:lastRenderedPageBreak/>
        <w:t>You may also consider:</w:t>
      </w:r>
    </w:p>
    <w:p w14:paraId="1F8C038E" w14:textId="05E3E72E" w:rsidR="009E3315" w:rsidRPr="00C064D2" w:rsidRDefault="00CE57A2" w:rsidP="00B1650A">
      <w:pPr>
        <w:spacing w:before="120" w:after="100" w:afterAutospacing="1"/>
        <w:ind w:left="1296"/>
        <w:jc w:val="both"/>
        <w:rPr>
          <w:rFonts w:ascii="Arial" w:eastAsia="Arial" w:hAnsi="Arial" w:cs="Arial"/>
          <w:sz w:val="28"/>
          <w:szCs w:val="28"/>
        </w:rPr>
      </w:pPr>
      <w:r w:rsidRPr="00C064D2">
        <w:rPr>
          <w:rFonts w:ascii="Arial" w:hAnsi="Arial" w:cs="Arial"/>
          <w:sz w:val="28"/>
          <w:szCs w:val="28"/>
        </w:rPr>
        <w:t xml:space="preserve">whether </w:t>
      </w:r>
      <w:r w:rsidR="00406302" w:rsidRPr="00C064D2">
        <w:rPr>
          <w:rFonts w:ascii="Arial" w:hAnsi="Arial" w:cs="Arial"/>
          <w:sz w:val="28"/>
          <w:szCs w:val="28"/>
        </w:rPr>
        <w:t xml:space="preserve">the defendant </w:t>
      </w:r>
      <w:r w:rsidR="00CC07E0" w:rsidRPr="00C064D2">
        <w:rPr>
          <w:rFonts w:ascii="Arial" w:hAnsi="Arial" w:cs="Arial"/>
          <w:sz w:val="28"/>
          <w:szCs w:val="28"/>
        </w:rPr>
        <w:t>took</w:t>
      </w:r>
      <w:r w:rsidR="00406302" w:rsidRPr="00C064D2">
        <w:rPr>
          <w:rFonts w:ascii="Arial" w:hAnsi="Arial" w:cs="Arial"/>
          <w:sz w:val="28"/>
          <w:szCs w:val="28"/>
        </w:rPr>
        <w:t xml:space="preserve"> the </w:t>
      </w:r>
      <w:r w:rsidR="000B5AEF" w:rsidRPr="00C064D2">
        <w:rPr>
          <w:rFonts w:ascii="Arial" w:hAnsi="Arial" w:cs="Arial"/>
          <w:sz w:val="28"/>
          <w:szCs w:val="28"/>
        </w:rPr>
        <w:t>(</w:t>
      </w:r>
      <w:r w:rsidR="00C5743E" w:rsidRPr="00C064D2">
        <w:rPr>
          <w:rFonts w:ascii="Arial" w:hAnsi="Arial" w:cs="Arial"/>
          <w:i/>
          <w:iCs/>
          <w:sz w:val="28"/>
          <w:szCs w:val="28"/>
          <w:u w:val="single"/>
        </w:rPr>
        <w:t>specify weapon</w:t>
      </w:r>
      <w:r w:rsidR="000B5AEF" w:rsidRPr="00C064D2">
        <w:rPr>
          <w:rFonts w:ascii="Arial" w:hAnsi="Arial" w:cs="Arial"/>
          <w:sz w:val="28"/>
          <w:szCs w:val="28"/>
        </w:rPr>
        <w:t>)</w:t>
      </w:r>
      <w:r w:rsidR="00406302" w:rsidRPr="00C064D2">
        <w:rPr>
          <w:rFonts w:ascii="Arial" w:hAnsi="Arial" w:cs="Arial"/>
          <w:sz w:val="28"/>
          <w:szCs w:val="28"/>
        </w:rPr>
        <w:t xml:space="preserve"> from an assailant</w:t>
      </w:r>
      <w:r w:rsidR="000B1798" w:rsidRPr="00C064D2">
        <w:rPr>
          <w:rFonts w:ascii="Arial" w:hAnsi="Arial" w:cs="Arial"/>
          <w:sz w:val="28"/>
          <w:szCs w:val="28"/>
        </w:rPr>
        <w:t xml:space="preserve"> </w:t>
      </w:r>
      <w:r w:rsidR="007B20DA" w:rsidRPr="00C064D2">
        <w:rPr>
          <w:rFonts w:ascii="Arial" w:hAnsi="Arial" w:cs="Arial"/>
          <w:sz w:val="28"/>
          <w:szCs w:val="28"/>
        </w:rPr>
        <w:t>a</w:t>
      </w:r>
      <w:r w:rsidR="000B5AEF" w:rsidRPr="00C064D2">
        <w:rPr>
          <w:rFonts w:ascii="Arial" w:hAnsi="Arial" w:cs="Arial"/>
          <w:sz w:val="28"/>
          <w:szCs w:val="28"/>
        </w:rPr>
        <w:t xml:space="preserve">nd </w:t>
      </w:r>
      <w:r w:rsidR="00C67A01" w:rsidRPr="00C064D2">
        <w:rPr>
          <w:rFonts w:ascii="Arial" w:hAnsi="Arial" w:cs="Arial"/>
          <w:sz w:val="28"/>
          <w:szCs w:val="28"/>
        </w:rPr>
        <w:t xml:space="preserve">then </w:t>
      </w:r>
      <w:r w:rsidR="000B5AEF" w:rsidRPr="00C064D2">
        <w:rPr>
          <w:rFonts w:ascii="Arial" w:hAnsi="Arial" w:cs="Arial"/>
          <w:sz w:val="28"/>
          <w:szCs w:val="28"/>
        </w:rPr>
        <w:t>used it</w:t>
      </w:r>
      <w:r w:rsidR="00AB04B2" w:rsidRPr="00C064D2">
        <w:rPr>
          <w:rFonts w:ascii="Arial" w:hAnsi="Arial" w:cs="Arial"/>
          <w:sz w:val="28"/>
          <w:szCs w:val="28"/>
        </w:rPr>
        <w:t>,</w:t>
      </w:r>
      <w:r w:rsidR="00AB04B2" w:rsidRPr="00C064D2">
        <w:rPr>
          <w:rStyle w:val="EndnoteReference"/>
          <w:rFonts w:ascii="Arial" w:hAnsi="Arial" w:cs="Arial"/>
          <w:sz w:val="28"/>
          <w:szCs w:val="28"/>
        </w:rPr>
        <w:endnoteReference w:id="5"/>
      </w:r>
      <w:r w:rsidR="001C4A3A" w:rsidRPr="00C064D2">
        <w:rPr>
          <w:rFonts w:ascii="Arial" w:hAnsi="Arial" w:cs="Arial"/>
          <w:strike/>
          <w:sz w:val="28"/>
          <w:szCs w:val="28"/>
        </w:rPr>
        <w:t xml:space="preserve"> </w:t>
      </w:r>
      <w:r w:rsidR="00142870" w:rsidRPr="00C064D2">
        <w:rPr>
          <w:rFonts w:ascii="Arial" w:hAnsi="Arial" w:cs="Arial"/>
          <w:sz w:val="28"/>
          <w:szCs w:val="28"/>
        </w:rPr>
        <w:t xml:space="preserve">and </w:t>
      </w:r>
      <w:r w:rsidR="00406302" w:rsidRPr="00C064D2">
        <w:rPr>
          <w:rFonts w:ascii="Arial" w:eastAsia="Arial" w:hAnsi="Arial" w:cs="Arial"/>
          <w:sz w:val="28"/>
          <w:szCs w:val="28"/>
        </w:rPr>
        <w:t>whether</w:t>
      </w:r>
      <w:r w:rsidR="00FE218A" w:rsidRPr="00C064D2">
        <w:rPr>
          <w:rFonts w:ascii="Arial" w:eastAsia="Arial" w:hAnsi="Arial" w:cs="Arial"/>
          <w:sz w:val="28"/>
          <w:szCs w:val="28"/>
        </w:rPr>
        <w:t xml:space="preserve"> </w:t>
      </w:r>
      <w:r w:rsidR="00760B68" w:rsidRPr="00C064D2">
        <w:rPr>
          <w:rFonts w:ascii="Arial" w:eastAsia="Arial" w:hAnsi="Arial" w:cs="Arial"/>
          <w:sz w:val="28"/>
          <w:szCs w:val="28"/>
        </w:rPr>
        <w:t>that use was justified</w:t>
      </w:r>
      <w:r w:rsidR="00396016" w:rsidRPr="00C064D2">
        <w:rPr>
          <w:rFonts w:ascii="Arial" w:eastAsia="Arial" w:hAnsi="Arial" w:cs="Arial"/>
          <w:sz w:val="28"/>
          <w:szCs w:val="28"/>
        </w:rPr>
        <w:t>;</w:t>
      </w:r>
      <w:r w:rsidR="00760B68" w:rsidRPr="00C064D2">
        <w:rPr>
          <w:rFonts w:ascii="Arial" w:eastAsia="Arial" w:hAnsi="Arial" w:cs="Arial"/>
          <w:sz w:val="28"/>
          <w:szCs w:val="28"/>
        </w:rPr>
        <w:t xml:space="preserve"> </w:t>
      </w:r>
      <w:r w:rsidR="00406302" w:rsidRPr="00C064D2">
        <w:rPr>
          <w:rStyle w:val="EndnoteReference"/>
          <w:rFonts w:ascii="Arial" w:eastAsia="Arial" w:hAnsi="Arial" w:cs="Arial"/>
          <w:sz w:val="28"/>
          <w:szCs w:val="28"/>
        </w:rPr>
        <w:endnoteReference w:id="6"/>
      </w:r>
      <w:r w:rsidR="001C4A3A" w:rsidRPr="00C064D2">
        <w:rPr>
          <w:rFonts w:ascii="Arial" w:eastAsia="Arial" w:hAnsi="Arial" w:cs="Arial"/>
          <w:sz w:val="28"/>
          <w:szCs w:val="28"/>
        </w:rPr>
        <w:t xml:space="preserve"> </w:t>
      </w:r>
    </w:p>
    <w:p w14:paraId="0A2471EC" w14:textId="1328964C" w:rsidR="009E3315" w:rsidRPr="00C064D2" w:rsidRDefault="009E3315" w:rsidP="00B1650A">
      <w:pPr>
        <w:spacing w:before="120" w:after="100" w:afterAutospacing="1"/>
        <w:ind w:left="1296"/>
        <w:jc w:val="both"/>
        <w:rPr>
          <w:rFonts w:ascii="Arial" w:hAnsi="Arial" w:cs="Arial"/>
          <w:sz w:val="28"/>
          <w:szCs w:val="28"/>
        </w:rPr>
      </w:pPr>
      <w:r w:rsidRPr="00C064D2">
        <w:rPr>
          <w:rFonts w:ascii="Arial" w:eastAsia="Arial" w:hAnsi="Arial" w:cs="Arial"/>
          <w:sz w:val="28"/>
          <w:szCs w:val="28"/>
        </w:rPr>
        <w:t xml:space="preserve">whether </w:t>
      </w:r>
      <w:r w:rsidR="00970955" w:rsidRPr="00C064D2">
        <w:rPr>
          <w:rFonts w:ascii="Arial" w:eastAsia="Arial" w:hAnsi="Arial" w:cs="Arial"/>
          <w:sz w:val="28"/>
          <w:szCs w:val="28"/>
        </w:rPr>
        <w:t xml:space="preserve">after </w:t>
      </w:r>
      <w:r w:rsidR="00653029" w:rsidRPr="00C064D2">
        <w:rPr>
          <w:rFonts w:ascii="Arial" w:eastAsia="Arial" w:hAnsi="Arial" w:cs="Arial"/>
          <w:sz w:val="28"/>
          <w:szCs w:val="28"/>
        </w:rPr>
        <w:t>obtaining</w:t>
      </w:r>
      <w:r w:rsidRPr="00C064D2">
        <w:rPr>
          <w:rFonts w:ascii="Arial" w:eastAsia="Arial" w:hAnsi="Arial" w:cs="Arial"/>
          <w:sz w:val="28"/>
          <w:szCs w:val="28"/>
        </w:rPr>
        <w:t xml:space="preserve"> possession of</w:t>
      </w:r>
      <w:r w:rsidR="00653029" w:rsidRPr="00C064D2">
        <w:rPr>
          <w:rFonts w:ascii="Arial" w:eastAsia="Arial" w:hAnsi="Arial" w:cs="Arial"/>
          <w:sz w:val="28"/>
          <w:szCs w:val="28"/>
        </w:rPr>
        <w:t xml:space="preserve"> the weapon</w:t>
      </w:r>
      <w:r w:rsidRPr="00C064D2">
        <w:rPr>
          <w:rFonts w:ascii="Arial" w:eastAsia="Arial" w:hAnsi="Arial" w:cs="Arial"/>
          <w:sz w:val="28"/>
          <w:szCs w:val="28"/>
        </w:rPr>
        <w:t>, the defendant used the weapon in a reckless and dangerous</w:t>
      </w:r>
      <w:r w:rsidR="00970955" w:rsidRPr="00C064D2">
        <w:rPr>
          <w:rFonts w:ascii="Arial" w:eastAsia="Arial" w:hAnsi="Arial" w:cs="Arial"/>
          <w:sz w:val="28"/>
          <w:szCs w:val="28"/>
        </w:rPr>
        <w:t xml:space="preserve"> manner</w:t>
      </w:r>
      <w:r w:rsidR="00985461" w:rsidRPr="00C064D2">
        <w:rPr>
          <w:rFonts w:ascii="Arial" w:eastAsia="Arial" w:hAnsi="Arial" w:cs="Arial"/>
          <w:sz w:val="28"/>
          <w:szCs w:val="28"/>
        </w:rPr>
        <w:t>;</w:t>
      </w:r>
      <w:r w:rsidR="00970955" w:rsidRPr="00C064D2">
        <w:rPr>
          <w:rFonts w:ascii="Arial" w:eastAsia="Arial" w:hAnsi="Arial" w:cs="Arial"/>
          <w:sz w:val="28"/>
          <w:szCs w:val="28"/>
        </w:rPr>
        <w:t xml:space="preserve"> </w:t>
      </w:r>
      <w:r w:rsidRPr="00C064D2">
        <w:rPr>
          <w:rStyle w:val="EndnoteReference"/>
          <w:rFonts w:ascii="Arial" w:eastAsia="Arial" w:hAnsi="Arial" w:cs="Arial"/>
          <w:sz w:val="28"/>
          <w:szCs w:val="28"/>
        </w:rPr>
        <w:endnoteReference w:id="7"/>
      </w:r>
      <w:r w:rsidRPr="00C064D2">
        <w:rPr>
          <w:rFonts w:ascii="Arial" w:eastAsia="Arial" w:hAnsi="Arial" w:cs="Arial"/>
          <w:sz w:val="28"/>
          <w:szCs w:val="28"/>
        </w:rPr>
        <w:t xml:space="preserve"> </w:t>
      </w:r>
    </w:p>
    <w:p w14:paraId="25F99E07" w14:textId="0956E019" w:rsidR="00A80A1C" w:rsidRPr="00C064D2" w:rsidRDefault="00A804DF" w:rsidP="00B1650A">
      <w:pPr>
        <w:spacing w:before="0"/>
        <w:ind w:left="1368"/>
        <w:jc w:val="both"/>
        <w:rPr>
          <w:rFonts w:ascii="Arial" w:eastAsia="Arial" w:hAnsi="Arial" w:cs="Arial"/>
          <w:sz w:val="28"/>
          <w:szCs w:val="28"/>
        </w:rPr>
      </w:pPr>
      <w:r w:rsidRPr="00C064D2">
        <w:rPr>
          <w:rFonts w:ascii="Arial" w:hAnsi="Arial" w:cs="Arial"/>
          <w:sz w:val="28"/>
          <w:szCs w:val="28"/>
        </w:rPr>
        <w:t>whether</w:t>
      </w:r>
      <w:r w:rsidR="00F71758" w:rsidRPr="00C064D2">
        <w:rPr>
          <w:rFonts w:ascii="Arial" w:eastAsia="Arial" w:hAnsi="Arial" w:cs="Arial"/>
          <w:sz w:val="28"/>
          <w:szCs w:val="28"/>
        </w:rPr>
        <w:t xml:space="preserve"> </w:t>
      </w:r>
      <w:r w:rsidR="007103ED" w:rsidRPr="00C064D2">
        <w:rPr>
          <w:rFonts w:ascii="Arial" w:eastAsia="Arial" w:hAnsi="Arial" w:cs="Arial"/>
          <w:sz w:val="28"/>
          <w:szCs w:val="28"/>
        </w:rPr>
        <w:t>the length of time the (</w:t>
      </w:r>
      <w:r w:rsidR="00C5743E" w:rsidRPr="00C064D2">
        <w:rPr>
          <w:rFonts w:ascii="Arial" w:eastAsia="Arial" w:hAnsi="Arial" w:cs="Arial"/>
          <w:i/>
          <w:iCs/>
          <w:sz w:val="28"/>
          <w:szCs w:val="28"/>
          <w:u w:val="single"/>
        </w:rPr>
        <w:t>specify weapon</w:t>
      </w:r>
      <w:r w:rsidR="007103ED" w:rsidRPr="00C064D2">
        <w:rPr>
          <w:rFonts w:ascii="Arial" w:eastAsia="Arial" w:hAnsi="Arial" w:cs="Arial"/>
          <w:i/>
          <w:iCs/>
          <w:sz w:val="28"/>
          <w:szCs w:val="28"/>
          <w:u w:val="single"/>
        </w:rPr>
        <w:t>)</w:t>
      </w:r>
      <w:r w:rsidR="007103ED" w:rsidRPr="00C064D2">
        <w:rPr>
          <w:rFonts w:ascii="Arial" w:eastAsia="Arial" w:hAnsi="Arial" w:cs="Arial"/>
          <w:sz w:val="28"/>
          <w:szCs w:val="28"/>
        </w:rPr>
        <w:t xml:space="preserve"> remained in the defendant’s possession was reasonable under the circumstances</w:t>
      </w:r>
      <w:r w:rsidR="00F42469" w:rsidRPr="00C064D2">
        <w:rPr>
          <w:rFonts w:ascii="Arial" w:eastAsia="Arial" w:hAnsi="Arial" w:cs="Arial"/>
          <w:sz w:val="28"/>
          <w:szCs w:val="28"/>
        </w:rPr>
        <w:t>;</w:t>
      </w:r>
      <w:r w:rsidR="00843BF6" w:rsidRPr="00C064D2">
        <w:rPr>
          <w:rStyle w:val="EndnoteReference"/>
          <w:rFonts w:ascii="Arial" w:eastAsia="Arial" w:hAnsi="Arial" w:cs="Arial"/>
          <w:sz w:val="28"/>
          <w:szCs w:val="28"/>
        </w:rPr>
        <w:endnoteReference w:id="8"/>
      </w:r>
    </w:p>
    <w:p w14:paraId="1BBFBD28" w14:textId="77777777" w:rsidR="00A80A1C" w:rsidRPr="00C064D2" w:rsidRDefault="00A80A1C" w:rsidP="00B1650A">
      <w:pPr>
        <w:spacing w:before="0"/>
        <w:ind w:left="648"/>
        <w:jc w:val="both"/>
        <w:rPr>
          <w:rFonts w:ascii="Arial" w:eastAsia="Arial" w:hAnsi="Arial" w:cs="Arial"/>
          <w:sz w:val="28"/>
          <w:szCs w:val="28"/>
        </w:rPr>
      </w:pPr>
    </w:p>
    <w:p w14:paraId="153AEC2A" w14:textId="46E60FA8" w:rsidR="00A80A1C" w:rsidRPr="00C064D2" w:rsidRDefault="00A32A01" w:rsidP="00B1650A">
      <w:pPr>
        <w:spacing w:before="0"/>
        <w:ind w:left="1368"/>
        <w:jc w:val="both"/>
        <w:rPr>
          <w:rFonts w:ascii="Arial" w:hAnsi="Arial" w:cs="Arial"/>
          <w:sz w:val="28"/>
          <w:szCs w:val="28"/>
        </w:rPr>
      </w:pPr>
      <w:r w:rsidRPr="00C064D2">
        <w:rPr>
          <w:rFonts w:ascii="Arial" w:eastAsia="Arial" w:hAnsi="Arial" w:cs="Arial"/>
          <w:sz w:val="28"/>
          <w:szCs w:val="28"/>
        </w:rPr>
        <w:t xml:space="preserve">whether the defendant had </w:t>
      </w:r>
      <w:r w:rsidR="00E979B9" w:rsidRPr="00C064D2">
        <w:rPr>
          <w:rFonts w:ascii="Arial" w:eastAsia="Arial" w:hAnsi="Arial" w:cs="Arial"/>
          <w:sz w:val="28"/>
          <w:szCs w:val="28"/>
        </w:rPr>
        <w:t>intended</w:t>
      </w:r>
      <w:r w:rsidRPr="00C064D2">
        <w:rPr>
          <w:rFonts w:ascii="Arial" w:eastAsia="Arial" w:hAnsi="Arial" w:cs="Arial"/>
          <w:sz w:val="28"/>
          <w:szCs w:val="28"/>
        </w:rPr>
        <w:t xml:space="preserve"> to safely dispose of (</w:t>
      </w:r>
      <w:r w:rsidR="00C5743E" w:rsidRPr="00C064D2">
        <w:rPr>
          <w:rFonts w:ascii="Arial" w:eastAsia="Arial" w:hAnsi="Arial" w:cs="Arial"/>
          <w:i/>
          <w:iCs/>
          <w:sz w:val="28"/>
          <w:szCs w:val="28"/>
          <w:u w:val="single"/>
        </w:rPr>
        <w:t>specify weapon</w:t>
      </w:r>
      <w:r w:rsidRPr="00C064D2">
        <w:rPr>
          <w:rFonts w:ascii="Arial" w:eastAsia="Arial" w:hAnsi="Arial" w:cs="Arial"/>
          <w:i/>
          <w:iCs/>
          <w:sz w:val="28"/>
          <w:szCs w:val="28"/>
          <w:u w:val="single"/>
        </w:rPr>
        <w:t>)</w:t>
      </w:r>
      <w:r w:rsidRPr="00C064D2">
        <w:rPr>
          <w:rFonts w:ascii="Arial" w:eastAsia="Arial" w:hAnsi="Arial" w:cs="Arial"/>
          <w:i/>
          <w:iCs/>
          <w:sz w:val="28"/>
          <w:szCs w:val="28"/>
        </w:rPr>
        <w:t xml:space="preserve">; </w:t>
      </w:r>
      <w:r w:rsidRPr="00C064D2">
        <w:rPr>
          <w:rStyle w:val="EndnoteReference"/>
          <w:rFonts w:ascii="Arial" w:eastAsia="Arial" w:hAnsi="Arial" w:cs="Arial"/>
          <w:i/>
          <w:iCs/>
          <w:sz w:val="28"/>
          <w:szCs w:val="28"/>
        </w:rPr>
        <w:endnoteReference w:id="9"/>
      </w:r>
      <w:r w:rsidR="00BE0E8C" w:rsidRPr="00C064D2">
        <w:rPr>
          <w:rFonts w:ascii="Arial" w:hAnsi="Arial" w:cs="Arial"/>
          <w:sz w:val="28"/>
          <w:szCs w:val="28"/>
        </w:rPr>
        <w:t xml:space="preserve"> </w:t>
      </w:r>
      <w:r w:rsidR="00E740EE" w:rsidRPr="00C064D2">
        <w:rPr>
          <w:rFonts w:ascii="Arial" w:hAnsi="Arial" w:cs="Arial"/>
          <w:sz w:val="28"/>
          <w:szCs w:val="28"/>
        </w:rPr>
        <w:t xml:space="preserve"> </w:t>
      </w:r>
    </w:p>
    <w:p w14:paraId="047316C1" w14:textId="77777777" w:rsidR="00A80A1C" w:rsidRPr="00C064D2" w:rsidRDefault="00A80A1C" w:rsidP="006C773C">
      <w:pPr>
        <w:spacing w:before="0" w:line="276" w:lineRule="auto"/>
        <w:ind w:left="648"/>
        <w:jc w:val="both"/>
        <w:rPr>
          <w:rFonts w:ascii="Arial" w:hAnsi="Arial" w:cs="Arial"/>
          <w:sz w:val="28"/>
          <w:szCs w:val="28"/>
        </w:rPr>
      </w:pPr>
    </w:p>
    <w:p w14:paraId="06B2D8D1" w14:textId="091A2226" w:rsidR="00A80A1C" w:rsidRPr="00C064D2" w:rsidRDefault="00FD469A" w:rsidP="00B1650A">
      <w:pPr>
        <w:spacing w:before="0"/>
        <w:ind w:left="1368"/>
        <w:jc w:val="both"/>
        <w:rPr>
          <w:rFonts w:ascii="Arial" w:eastAsia="Arial" w:hAnsi="Arial" w:cs="Arial"/>
          <w:sz w:val="28"/>
          <w:szCs w:val="28"/>
        </w:rPr>
      </w:pPr>
      <w:r w:rsidRPr="00C064D2">
        <w:rPr>
          <w:rFonts w:ascii="Arial" w:eastAsia="Arial" w:hAnsi="Arial" w:cs="Arial"/>
          <w:sz w:val="28"/>
          <w:szCs w:val="28"/>
        </w:rPr>
        <w:t xml:space="preserve">whether </w:t>
      </w:r>
      <w:r w:rsidR="003278A4" w:rsidRPr="00C064D2">
        <w:rPr>
          <w:rFonts w:ascii="Arial" w:eastAsia="Arial" w:hAnsi="Arial" w:cs="Arial"/>
          <w:sz w:val="28"/>
          <w:szCs w:val="28"/>
        </w:rPr>
        <w:t>the defendant</w:t>
      </w:r>
      <w:r w:rsidR="006545BC" w:rsidRPr="00C064D2">
        <w:rPr>
          <w:rFonts w:ascii="Arial" w:eastAsia="Arial" w:hAnsi="Arial" w:cs="Arial"/>
          <w:sz w:val="28"/>
          <w:szCs w:val="28"/>
        </w:rPr>
        <w:t xml:space="preserve"> had a reasonable</w:t>
      </w:r>
      <w:r w:rsidR="003278A4" w:rsidRPr="00C064D2">
        <w:rPr>
          <w:rFonts w:ascii="Arial" w:eastAsia="Arial" w:hAnsi="Arial" w:cs="Arial"/>
          <w:sz w:val="28"/>
          <w:szCs w:val="28"/>
        </w:rPr>
        <w:t xml:space="preserve"> opportunity</w:t>
      </w:r>
      <w:r w:rsidR="006545BC" w:rsidRPr="00C064D2">
        <w:rPr>
          <w:rFonts w:ascii="Arial" w:eastAsia="Arial" w:hAnsi="Arial" w:cs="Arial"/>
          <w:sz w:val="28"/>
          <w:szCs w:val="28"/>
        </w:rPr>
        <w:t xml:space="preserve"> </w:t>
      </w:r>
      <w:r w:rsidR="003278A4" w:rsidRPr="00C064D2">
        <w:rPr>
          <w:rFonts w:ascii="Arial" w:eastAsia="Arial" w:hAnsi="Arial" w:cs="Arial"/>
          <w:sz w:val="28"/>
          <w:szCs w:val="28"/>
        </w:rPr>
        <w:t xml:space="preserve">to turn the </w:t>
      </w:r>
      <w:r w:rsidR="00302FD2" w:rsidRPr="00C064D2">
        <w:rPr>
          <w:rFonts w:ascii="Arial" w:eastAsia="Arial" w:hAnsi="Arial" w:cs="Arial"/>
          <w:sz w:val="28"/>
          <w:szCs w:val="28"/>
        </w:rPr>
        <w:t>(</w:t>
      </w:r>
      <w:r w:rsidR="00C5743E" w:rsidRPr="00C064D2">
        <w:rPr>
          <w:rFonts w:ascii="Arial" w:eastAsia="Arial" w:hAnsi="Arial" w:cs="Arial"/>
          <w:i/>
          <w:iCs/>
          <w:sz w:val="28"/>
          <w:szCs w:val="28"/>
          <w:u w:val="single"/>
        </w:rPr>
        <w:t>specify weapon</w:t>
      </w:r>
      <w:r w:rsidR="00302FD2" w:rsidRPr="00C064D2">
        <w:rPr>
          <w:rFonts w:ascii="Arial" w:eastAsia="Arial" w:hAnsi="Arial" w:cs="Arial"/>
          <w:i/>
          <w:iCs/>
          <w:sz w:val="28"/>
          <w:szCs w:val="28"/>
          <w:u w:val="single"/>
        </w:rPr>
        <w:t>)</w:t>
      </w:r>
      <w:r w:rsidR="003278A4" w:rsidRPr="00C064D2">
        <w:rPr>
          <w:rFonts w:ascii="Arial" w:eastAsia="Arial" w:hAnsi="Arial" w:cs="Arial"/>
          <w:sz w:val="28"/>
          <w:szCs w:val="28"/>
        </w:rPr>
        <w:t xml:space="preserve"> over to the police or other appropriate authority</w:t>
      </w:r>
      <w:r w:rsidR="00A14323" w:rsidRPr="00C064D2">
        <w:rPr>
          <w:rFonts w:ascii="Arial" w:eastAsia="Arial" w:hAnsi="Arial" w:cs="Arial"/>
          <w:sz w:val="28"/>
          <w:szCs w:val="28"/>
        </w:rPr>
        <w:t>;</w:t>
      </w:r>
      <w:r w:rsidR="00BC6FF9" w:rsidRPr="00C064D2">
        <w:rPr>
          <w:rFonts w:ascii="Arial" w:eastAsia="Arial" w:hAnsi="Arial" w:cs="Arial"/>
          <w:sz w:val="28"/>
          <w:szCs w:val="28"/>
        </w:rPr>
        <w:t xml:space="preserve"> and</w:t>
      </w:r>
      <w:r w:rsidR="00A91765" w:rsidRPr="00C064D2">
        <w:rPr>
          <w:rFonts w:ascii="Arial" w:eastAsia="Arial" w:hAnsi="Arial" w:cs="Arial"/>
          <w:sz w:val="28"/>
          <w:szCs w:val="28"/>
        </w:rPr>
        <w:t xml:space="preserve"> </w:t>
      </w:r>
      <w:r w:rsidR="00BC6FF9" w:rsidRPr="00C064D2">
        <w:rPr>
          <w:rFonts w:ascii="Arial" w:eastAsia="Arial" w:hAnsi="Arial" w:cs="Arial"/>
          <w:sz w:val="28"/>
          <w:szCs w:val="28"/>
        </w:rPr>
        <w:t xml:space="preserve">if and </w:t>
      </w:r>
      <w:r w:rsidR="00E740EE" w:rsidRPr="00C064D2">
        <w:rPr>
          <w:rFonts w:ascii="Arial" w:eastAsia="Arial" w:hAnsi="Arial" w:cs="Arial"/>
          <w:sz w:val="28"/>
          <w:szCs w:val="28"/>
        </w:rPr>
        <w:t>when the defendant did have such opportunity,</w:t>
      </w:r>
      <w:r w:rsidR="00D05D43" w:rsidRPr="00C064D2">
        <w:rPr>
          <w:rFonts w:ascii="Arial" w:eastAsia="Arial" w:hAnsi="Arial" w:cs="Arial"/>
          <w:sz w:val="28"/>
          <w:szCs w:val="28"/>
        </w:rPr>
        <w:t xml:space="preserve"> whether the defendant did </w:t>
      </w:r>
      <w:r w:rsidR="004646FB" w:rsidRPr="00C064D2">
        <w:rPr>
          <w:rFonts w:ascii="Arial" w:eastAsia="Arial" w:hAnsi="Arial" w:cs="Arial"/>
          <w:sz w:val="28"/>
          <w:szCs w:val="28"/>
        </w:rPr>
        <w:t>so</w:t>
      </w:r>
      <w:r w:rsidR="009B5EEA" w:rsidRPr="00C064D2">
        <w:rPr>
          <w:rFonts w:ascii="Arial" w:eastAsia="Arial" w:hAnsi="Arial" w:cs="Arial"/>
          <w:sz w:val="28"/>
          <w:szCs w:val="28"/>
        </w:rPr>
        <w:t>;</w:t>
      </w:r>
      <w:r w:rsidR="00173A86" w:rsidRPr="00C064D2">
        <w:rPr>
          <w:rStyle w:val="EndnoteReference"/>
          <w:rFonts w:ascii="Arial" w:eastAsia="Arial" w:hAnsi="Arial" w:cs="Arial"/>
          <w:sz w:val="28"/>
          <w:szCs w:val="28"/>
        </w:rPr>
        <w:endnoteReference w:id="10"/>
      </w:r>
      <w:r w:rsidR="00BC6FF9" w:rsidRPr="00C064D2">
        <w:rPr>
          <w:rFonts w:ascii="Arial" w:eastAsia="Arial" w:hAnsi="Arial" w:cs="Arial"/>
          <w:sz w:val="28"/>
          <w:szCs w:val="28"/>
        </w:rPr>
        <w:t xml:space="preserve"> </w:t>
      </w:r>
    </w:p>
    <w:p w14:paraId="591C320E" w14:textId="77777777" w:rsidR="00441725" w:rsidRPr="00C064D2" w:rsidRDefault="00441725" w:rsidP="00B1650A">
      <w:pPr>
        <w:spacing w:before="0"/>
        <w:ind w:left="1368"/>
        <w:jc w:val="both"/>
        <w:rPr>
          <w:rFonts w:ascii="Arial" w:eastAsia="Arial" w:hAnsi="Arial" w:cs="Arial"/>
          <w:sz w:val="28"/>
          <w:szCs w:val="28"/>
        </w:rPr>
      </w:pPr>
    </w:p>
    <w:p w14:paraId="355EE67B" w14:textId="4DDC1B20" w:rsidR="00EC6E3B" w:rsidRPr="00C064D2" w:rsidRDefault="00E740EE" w:rsidP="00B1650A">
      <w:pPr>
        <w:spacing w:before="0"/>
        <w:ind w:left="1440"/>
        <w:rPr>
          <w:rFonts w:ascii="Arial" w:eastAsia="Arial" w:hAnsi="Arial" w:cs="Arial"/>
          <w:sz w:val="28"/>
          <w:szCs w:val="28"/>
        </w:rPr>
      </w:pPr>
      <w:r w:rsidRPr="00C064D2">
        <w:rPr>
          <w:rFonts w:ascii="Arial" w:eastAsia="Arial" w:hAnsi="Arial" w:cs="Arial"/>
          <w:i/>
          <w:iCs/>
          <w:sz w:val="28"/>
          <w:szCs w:val="28"/>
          <w:u w:val="single"/>
        </w:rPr>
        <w:t xml:space="preserve">Note: Add </w:t>
      </w:r>
      <w:r w:rsidR="00596E8B" w:rsidRPr="00C064D2">
        <w:rPr>
          <w:rFonts w:ascii="Arial" w:eastAsia="Arial" w:hAnsi="Arial" w:cs="Arial"/>
          <w:i/>
          <w:iCs/>
          <w:sz w:val="28"/>
          <w:szCs w:val="28"/>
          <w:u w:val="single"/>
        </w:rPr>
        <w:t>if appropriat</w:t>
      </w:r>
      <w:r w:rsidR="004F0701" w:rsidRPr="00C064D2">
        <w:rPr>
          <w:rFonts w:ascii="Arial" w:eastAsia="Arial" w:hAnsi="Arial" w:cs="Arial"/>
          <w:i/>
          <w:iCs/>
          <w:sz w:val="28"/>
          <w:szCs w:val="28"/>
          <w:u w:val="single"/>
        </w:rPr>
        <w:t>e:</w:t>
      </w:r>
      <w:r w:rsidRPr="00C064D2">
        <w:rPr>
          <w:rFonts w:ascii="Arial" w:eastAsia="Arial" w:hAnsi="Arial" w:cs="Arial"/>
          <w:i/>
          <w:iCs/>
          <w:sz w:val="28"/>
          <w:szCs w:val="28"/>
          <w:u w:val="single"/>
        </w:rPr>
        <w:t xml:space="preserve"> </w:t>
      </w:r>
    </w:p>
    <w:p w14:paraId="261C642E" w14:textId="77777777" w:rsidR="00B14493" w:rsidRPr="00C064D2" w:rsidRDefault="00902C0A" w:rsidP="00B1650A">
      <w:pPr>
        <w:spacing w:before="120"/>
        <w:ind w:left="2088"/>
        <w:jc w:val="both"/>
        <w:rPr>
          <w:rFonts w:ascii="Arial" w:eastAsia="Calibri" w:hAnsi="Arial" w:cs="Arial"/>
          <w:sz w:val="28"/>
          <w:szCs w:val="28"/>
        </w:rPr>
      </w:pPr>
      <w:r w:rsidRPr="00C064D2">
        <w:rPr>
          <w:rFonts w:ascii="Arial" w:eastAsia="Calibri" w:hAnsi="Arial" w:cs="Arial"/>
          <w:sz w:val="28"/>
          <w:szCs w:val="28"/>
        </w:rPr>
        <w:t>Or, if as the defendant contends, he/she safely disposed of the (</w:t>
      </w:r>
      <w:r w:rsidR="00C5743E" w:rsidRPr="00C064D2">
        <w:rPr>
          <w:rFonts w:ascii="Arial" w:eastAsia="Calibri" w:hAnsi="Arial" w:cs="Arial"/>
          <w:sz w:val="28"/>
          <w:szCs w:val="28"/>
          <w:u w:val="single"/>
        </w:rPr>
        <w:t>specify weapon</w:t>
      </w:r>
      <w:r w:rsidRPr="00C064D2">
        <w:rPr>
          <w:rFonts w:ascii="Arial" w:eastAsia="Calibri" w:hAnsi="Arial" w:cs="Arial"/>
          <w:sz w:val="28"/>
          <w:szCs w:val="28"/>
        </w:rPr>
        <w:t xml:space="preserve">), or intended to do so, by another means, </w:t>
      </w:r>
    </w:p>
    <w:p w14:paraId="68283369" w14:textId="6DD882BC" w:rsidR="00975AF5" w:rsidRPr="00C064D2" w:rsidRDefault="00902C0A" w:rsidP="00B1650A">
      <w:pPr>
        <w:spacing w:before="120"/>
        <w:ind w:left="2088"/>
        <w:jc w:val="both"/>
        <w:rPr>
          <w:rFonts w:ascii="Arial" w:eastAsia="Calibri" w:hAnsi="Arial" w:cs="Arial"/>
          <w:sz w:val="28"/>
          <w:szCs w:val="28"/>
        </w:rPr>
      </w:pPr>
      <w:r w:rsidRPr="00C064D2">
        <w:rPr>
          <w:rFonts w:ascii="Arial" w:eastAsia="Calibri" w:hAnsi="Arial" w:cs="Arial"/>
          <w:sz w:val="28"/>
          <w:szCs w:val="28"/>
        </w:rPr>
        <w:t xml:space="preserve">whether choosing another means was reasonable and whether the defendant did so, or intended to do so, in a manner that did not, or would not, place or potentially place any person or persons in jeopardy from the discovery of the weapon and thus its potential use by </w:t>
      </w:r>
      <w:r w:rsidR="00F73F16" w:rsidRPr="00C064D2">
        <w:rPr>
          <w:rFonts w:ascii="Arial" w:eastAsia="Arial" w:hAnsi="Arial" w:cs="Arial"/>
          <w:sz w:val="28"/>
          <w:szCs w:val="28"/>
        </w:rPr>
        <w:t>another.</w:t>
      </w:r>
      <w:r w:rsidR="00F73F16" w:rsidRPr="00C064D2">
        <w:rPr>
          <w:rStyle w:val="EndnoteReference"/>
          <w:rFonts w:ascii="Arial" w:eastAsia="Arial" w:hAnsi="Arial" w:cs="Arial"/>
          <w:sz w:val="28"/>
          <w:szCs w:val="28"/>
        </w:rPr>
        <w:endnoteReference w:id="11"/>
      </w:r>
    </w:p>
    <w:p w14:paraId="1AF92E34" w14:textId="77777777" w:rsidR="008F56BC" w:rsidRPr="00C064D2" w:rsidRDefault="008F56BC" w:rsidP="00B1650A">
      <w:pPr>
        <w:spacing w:before="0" w:after="120"/>
        <w:ind w:left="1368"/>
        <w:jc w:val="both"/>
        <w:rPr>
          <w:rFonts w:ascii="Arial" w:eastAsia="Arial" w:hAnsi="Arial" w:cs="Arial"/>
          <w:i/>
          <w:iCs/>
          <w:sz w:val="28"/>
          <w:szCs w:val="28"/>
          <w:u w:val="single"/>
        </w:rPr>
      </w:pPr>
    </w:p>
    <w:p w14:paraId="2BA70B04" w14:textId="1A53C2A5" w:rsidR="00F647E3" w:rsidRPr="00C064D2" w:rsidRDefault="00A97E1E" w:rsidP="00B1650A">
      <w:pPr>
        <w:spacing w:before="0" w:after="120"/>
        <w:ind w:firstLine="720"/>
        <w:jc w:val="both"/>
        <w:rPr>
          <w:rFonts w:ascii="Arial" w:eastAsia="Arial" w:hAnsi="Arial" w:cs="Arial"/>
          <w:sz w:val="28"/>
          <w:szCs w:val="28"/>
        </w:rPr>
      </w:pPr>
      <w:r w:rsidRPr="00C064D2">
        <w:rPr>
          <w:rFonts w:ascii="Arial" w:eastAsia="Arial" w:hAnsi="Arial" w:cs="Arial"/>
          <w:sz w:val="28"/>
          <w:szCs w:val="28"/>
        </w:rPr>
        <w:t xml:space="preserve">The defendant is not required to prove that his possession of the weapon was innocent. </w:t>
      </w:r>
      <w:r w:rsidR="00E71EA2" w:rsidRPr="00C064D2">
        <w:rPr>
          <w:rFonts w:ascii="Arial" w:eastAsia="Arial" w:hAnsi="Arial" w:cs="Arial"/>
          <w:sz w:val="28"/>
          <w:szCs w:val="28"/>
        </w:rPr>
        <w:t xml:space="preserve"> </w:t>
      </w:r>
      <w:r w:rsidRPr="00C064D2">
        <w:rPr>
          <w:rFonts w:ascii="Arial" w:eastAsia="Arial" w:hAnsi="Arial" w:cs="Arial"/>
          <w:sz w:val="28"/>
          <w:szCs w:val="28"/>
        </w:rPr>
        <w:t>Rather, the People are required to prove beyond a reasonable doubt both that the defendant knowingly possessed the weapon and that such possession was not innocent.</w:t>
      </w:r>
      <w:r w:rsidR="00E6109C" w:rsidRPr="00C064D2">
        <w:rPr>
          <w:rStyle w:val="EndnoteReference"/>
          <w:rFonts w:ascii="Arial" w:eastAsia="Arial" w:hAnsi="Arial" w:cs="Arial"/>
          <w:sz w:val="28"/>
          <w:szCs w:val="28"/>
        </w:rPr>
        <w:endnoteReference w:id="12"/>
      </w:r>
    </w:p>
    <w:p w14:paraId="4A55F233" w14:textId="79E8E1C5" w:rsidR="00E71EA2" w:rsidRPr="00C064D2" w:rsidRDefault="00E71EA2" w:rsidP="00E71EA2">
      <w:pPr>
        <w:spacing w:before="0" w:after="120" w:line="276" w:lineRule="auto"/>
        <w:jc w:val="center"/>
        <w:rPr>
          <w:rFonts w:ascii="Arial" w:eastAsia="Arial" w:hAnsi="Arial" w:cs="Arial"/>
          <w:i/>
          <w:sz w:val="28"/>
          <w:szCs w:val="28"/>
        </w:rPr>
      </w:pPr>
      <w:r w:rsidRPr="00C064D2">
        <w:rPr>
          <w:rFonts w:ascii="Arial" w:eastAsia="Arial" w:hAnsi="Arial" w:cs="Arial"/>
          <w:sz w:val="28"/>
          <w:szCs w:val="28"/>
        </w:rPr>
        <w:t>__________</w:t>
      </w:r>
    </w:p>
    <w:p w14:paraId="17E6E6B4" w14:textId="193F4782" w:rsidR="0081361A" w:rsidRPr="00C064D2" w:rsidRDefault="00A97E1E" w:rsidP="006C773C">
      <w:pPr>
        <w:spacing w:before="0" w:after="120" w:line="276" w:lineRule="auto"/>
        <w:ind w:left="720" w:right="720" w:firstLine="648"/>
        <w:jc w:val="both"/>
        <w:rPr>
          <w:rFonts w:ascii="Arial" w:eastAsia="Arial" w:hAnsi="Arial" w:cs="Arial"/>
          <w:i/>
          <w:sz w:val="28"/>
          <w:szCs w:val="28"/>
        </w:rPr>
      </w:pPr>
      <w:r w:rsidRPr="00C064D2">
        <w:rPr>
          <w:rFonts w:ascii="Arial" w:eastAsia="Arial" w:hAnsi="Arial" w:cs="Arial"/>
          <w:i/>
          <w:sz w:val="28"/>
          <w:szCs w:val="28"/>
        </w:rPr>
        <w:lastRenderedPageBreak/>
        <w:t>NOTE: The following should be added to the list of elements of the pertinent offense:</w:t>
      </w:r>
    </w:p>
    <w:p w14:paraId="64935046" w14:textId="5579B96D" w:rsidR="004D0B6A" w:rsidRPr="00C064D2" w:rsidRDefault="00A97E1E" w:rsidP="006C773C">
      <w:pPr>
        <w:spacing w:before="0" w:after="120" w:line="276" w:lineRule="auto"/>
        <w:ind w:left="1440" w:right="720"/>
        <w:jc w:val="both"/>
        <w:rPr>
          <w:rFonts w:ascii="Arial" w:eastAsia="Arial" w:hAnsi="Arial" w:cs="Arial"/>
          <w:spacing w:val="7"/>
          <w:sz w:val="28"/>
          <w:szCs w:val="28"/>
        </w:rPr>
      </w:pPr>
      <w:r w:rsidRPr="00C064D2">
        <w:rPr>
          <w:rFonts w:ascii="Arial" w:eastAsia="Arial" w:hAnsi="Arial" w:cs="Arial"/>
          <w:spacing w:val="7"/>
          <w:sz w:val="28"/>
          <w:szCs w:val="28"/>
        </w:rPr>
        <w:t>and #. That the defendant’s possession was not innocent.</w:t>
      </w:r>
    </w:p>
    <w:p w14:paraId="6B437B59" w14:textId="77777777" w:rsidR="00650B8E" w:rsidRPr="00C064D2" w:rsidRDefault="00650B8E" w:rsidP="006C773C">
      <w:pPr>
        <w:spacing w:before="0" w:after="120" w:line="276" w:lineRule="auto"/>
        <w:ind w:left="1440" w:right="720"/>
        <w:jc w:val="both"/>
        <w:rPr>
          <w:rFonts w:ascii="Arial" w:eastAsia="Arial" w:hAnsi="Arial" w:cs="Arial"/>
          <w:spacing w:val="7"/>
          <w:sz w:val="28"/>
          <w:szCs w:val="28"/>
        </w:rPr>
      </w:pPr>
    </w:p>
    <w:sectPr w:rsidR="00650B8E" w:rsidRPr="00C064D2" w:rsidSect="008076DD">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971A" w14:textId="77777777" w:rsidR="00C53994" w:rsidRDefault="00C53994" w:rsidP="00A97E1E">
      <w:pPr>
        <w:spacing w:before="0"/>
      </w:pPr>
      <w:r>
        <w:separator/>
      </w:r>
    </w:p>
  </w:endnote>
  <w:endnote w:type="continuationSeparator" w:id="0">
    <w:p w14:paraId="6F80F58A" w14:textId="77777777" w:rsidR="00C53994" w:rsidRPr="005E33AD" w:rsidRDefault="00C53994" w:rsidP="005E33AD">
      <w:pPr>
        <w:pStyle w:val="Footer"/>
      </w:pPr>
    </w:p>
  </w:endnote>
  <w:endnote w:id="1">
    <w:p w14:paraId="16F6D640" w14:textId="77777777" w:rsidR="001A3F4B" w:rsidRPr="00E71EA2" w:rsidRDefault="001A3F4B" w:rsidP="00877EDA">
      <w:pPr>
        <w:pStyle w:val="EndnoteText"/>
        <w:spacing w:line="276" w:lineRule="auto"/>
        <w:jc w:val="both"/>
        <w:rPr>
          <w:rFonts w:ascii="Arial" w:hAnsi="Arial" w:cs="Arial"/>
          <w:sz w:val="24"/>
          <w:szCs w:val="24"/>
        </w:rPr>
      </w:pPr>
    </w:p>
    <w:p w14:paraId="66B1FC75" w14:textId="1C99CD24" w:rsidR="00F26419" w:rsidRPr="00C064D2" w:rsidRDefault="001A3F4B" w:rsidP="00254993">
      <w:pPr>
        <w:pStyle w:val="EndnoteText"/>
        <w:spacing w:line="276" w:lineRule="auto"/>
        <w:jc w:val="both"/>
        <w:rPr>
          <w:rFonts w:ascii="Arial" w:hAnsi="Arial" w:cs="Arial"/>
          <w:sz w:val="22"/>
          <w:szCs w:val="22"/>
        </w:rPr>
      </w:pPr>
      <w:r w:rsidRPr="00E71EA2">
        <w:rPr>
          <w:rStyle w:val="EndnoteReference"/>
          <w:rFonts w:ascii="Arial" w:hAnsi="Arial" w:cs="Arial"/>
          <w:sz w:val="22"/>
          <w:szCs w:val="22"/>
        </w:rPr>
        <w:endnoteRef/>
      </w:r>
      <w:r w:rsidRPr="00E71EA2">
        <w:rPr>
          <w:rFonts w:ascii="Arial" w:hAnsi="Arial" w:cs="Arial"/>
          <w:sz w:val="22"/>
          <w:szCs w:val="22"/>
        </w:rPr>
        <w:t xml:space="preserve"> </w:t>
      </w:r>
      <w:r w:rsidR="001E2288" w:rsidRPr="00C064D2">
        <w:rPr>
          <w:rFonts w:ascii="Arial" w:hAnsi="Arial" w:cs="Arial"/>
          <w:sz w:val="22"/>
          <w:szCs w:val="22"/>
        </w:rPr>
        <w:t>This instruction</w:t>
      </w:r>
      <w:r w:rsidR="00D6402F" w:rsidRPr="00C064D2">
        <w:rPr>
          <w:rFonts w:ascii="Arial" w:hAnsi="Arial" w:cs="Arial"/>
          <w:sz w:val="22"/>
          <w:szCs w:val="22"/>
        </w:rPr>
        <w:t xml:space="preserve">, as it existed prior to May 2021, was approved </w:t>
      </w:r>
      <w:r w:rsidR="00671731" w:rsidRPr="00C064D2">
        <w:rPr>
          <w:rFonts w:ascii="Arial" w:hAnsi="Arial" w:cs="Arial"/>
          <w:sz w:val="22"/>
          <w:szCs w:val="22"/>
        </w:rPr>
        <w:t xml:space="preserve">in </w:t>
      </w:r>
      <w:r w:rsidR="00671731" w:rsidRPr="00C064D2">
        <w:rPr>
          <w:rFonts w:ascii="Arial" w:hAnsi="Arial" w:cs="Arial"/>
          <w:i/>
          <w:iCs/>
          <w:sz w:val="22"/>
          <w:szCs w:val="22"/>
        </w:rPr>
        <w:t>People v Griggs</w:t>
      </w:r>
      <w:r w:rsidR="00671731" w:rsidRPr="00C064D2">
        <w:rPr>
          <w:rFonts w:ascii="Arial" w:hAnsi="Arial" w:cs="Arial"/>
          <w:sz w:val="22"/>
          <w:szCs w:val="22"/>
        </w:rPr>
        <w:t>, 108 AD3d 1062, 106 [4th Dept 2013]</w:t>
      </w:r>
      <w:r w:rsidR="00671731" w:rsidRPr="00C064D2">
        <w:rPr>
          <w:rFonts w:ascii="Arial" w:eastAsia="Times New Roman" w:hAnsi="Arial" w:cs="Arial"/>
          <w:sz w:val="22"/>
          <w:szCs w:val="22"/>
        </w:rPr>
        <w:t xml:space="preserve"> and </w:t>
      </w:r>
      <w:r w:rsidR="00671731" w:rsidRPr="00C064D2">
        <w:rPr>
          <w:rFonts w:ascii="Arial" w:hAnsi="Arial" w:cs="Arial"/>
          <w:i/>
          <w:iCs/>
          <w:sz w:val="22"/>
          <w:szCs w:val="22"/>
        </w:rPr>
        <w:t>People v Davis</w:t>
      </w:r>
      <w:r w:rsidR="00671731" w:rsidRPr="00C064D2">
        <w:rPr>
          <w:rFonts w:ascii="Arial" w:hAnsi="Arial" w:cs="Arial"/>
          <w:sz w:val="22"/>
          <w:szCs w:val="22"/>
        </w:rPr>
        <w:t xml:space="preserve">, 103 AD3d 810, 812 [2d Dept 2013].  </w:t>
      </w:r>
    </w:p>
    <w:p w14:paraId="76EEFE3A" w14:textId="1A26720D" w:rsidR="00E16584" w:rsidRPr="00C064D2" w:rsidRDefault="00887DE4" w:rsidP="00254993">
      <w:pPr>
        <w:pStyle w:val="EndnoteText"/>
        <w:spacing w:line="276" w:lineRule="auto"/>
        <w:jc w:val="both"/>
        <w:rPr>
          <w:rFonts w:ascii="Arial" w:hAnsi="Arial" w:cs="Arial"/>
          <w:sz w:val="22"/>
          <w:szCs w:val="22"/>
        </w:rPr>
      </w:pPr>
      <w:r w:rsidRPr="00C064D2">
        <w:rPr>
          <w:rFonts w:ascii="Arial" w:hAnsi="Arial" w:cs="Arial"/>
          <w:sz w:val="22"/>
          <w:szCs w:val="22"/>
        </w:rPr>
        <w:t xml:space="preserve">   </w:t>
      </w:r>
      <w:r w:rsidR="00535DE8" w:rsidRPr="00C064D2">
        <w:rPr>
          <w:rFonts w:ascii="Arial" w:hAnsi="Arial" w:cs="Arial"/>
          <w:sz w:val="22"/>
          <w:szCs w:val="22"/>
        </w:rPr>
        <w:t>In</w:t>
      </w:r>
      <w:r w:rsidRPr="00C064D2">
        <w:rPr>
          <w:rFonts w:ascii="Arial" w:hAnsi="Arial" w:cs="Arial"/>
          <w:sz w:val="22"/>
          <w:szCs w:val="22"/>
        </w:rPr>
        <w:t xml:space="preserve"> </w:t>
      </w:r>
      <w:r w:rsidR="00535DE8" w:rsidRPr="00C064D2">
        <w:rPr>
          <w:rFonts w:ascii="Arial" w:hAnsi="Arial" w:cs="Arial"/>
          <w:sz w:val="22"/>
          <w:szCs w:val="22"/>
        </w:rPr>
        <w:t>May 2021,</w:t>
      </w:r>
      <w:r w:rsidR="00B71579" w:rsidRPr="00C064D2">
        <w:rPr>
          <w:rFonts w:ascii="Arial" w:hAnsi="Arial" w:cs="Arial"/>
          <w:sz w:val="22"/>
          <w:szCs w:val="22"/>
        </w:rPr>
        <w:t xml:space="preserve"> </w:t>
      </w:r>
      <w:r w:rsidR="00535DE8" w:rsidRPr="00C064D2">
        <w:rPr>
          <w:rFonts w:ascii="Arial" w:hAnsi="Arial" w:cs="Arial"/>
          <w:sz w:val="22"/>
          <w:szCs w:val="22"/>
        </w:rPr>
        <w:t>the text of the instruction was revised to include factors consider</w:t>
      </w:r>
      <w:r w:rsidR="00B71579" w:rsidRPr="00C064D2">
        <w:rPr>
          <w:rFonts w:ascii="Arial" w:hAnsi="Arial" w:cs="Arial"/>
          <w:sz w:val="22"/>
          <w:szCs w:val="22"/>
        </w:rPr>
        <w:t>ed</w:t>
      </w:r>
      <w:r w:rsidR="00535DE8" w:rsidRPr="00C064D2">
        <w:rPr>
          <w:rFonts w:ascii="Arial" w:hAnsi="Arial" w:cs="Arial"/>
          <w:sz w:val="22"/>
          <w:szCs w:val="22"/>
        </w:rPr>
        <w:t xml:space="preserve"> by the Court of Appeals in </w:t>
      </w:r>
      <w:r w:rsidR="00535DE8" w:rsidRPr="00C064D2">
        <w:rPr>
          <w:rFonts w:ascii="Arial" w:hAnsi="Arial" w:cs="Arial"/>
          <w:i/>
          <w:iCs/>
          <w:sz w:val="22"/>
          <w:szCs w:val="22"/>
        </w:rPr>
        <w:t xml:space="preserve">People v Williams, </w:t>
      </w:r>
      <w:r w:rsidR="00535DE8" w:rsidRPr="00C064D2">
        <w:rPr>
          <w:rFonts w:ascii="Arial" w:hAnsi="Arial" w:cs="Arial"/>
          <w:sz w:val="22"/>
          <w:szCs w:val="22"/>
        </w:rPr>
        <w:t xml:space="preserve">36 NY3d 156 [2020], and to provide further guidance in the endnotes.  </w:t>
      </w:r>
      <w:r w:rsidRPr="00C064D2">
        <w:rPr>
          <w:rFonts w:ascii="Arial" w:hAnsi="Arial" w:cs="Arial"/>
          <w:sz w:val="22"/>
          <w:szCs w:val="22"/>
        </w:rPr>
        <w:t xml:space="preserve">Prior to the revision the </w:t>
      </w:r>
      <w:r w:rsidR="00895255" w:rsidRPr="00C064D2">
        <w:rPr>
          <w:rFonts w:ascii="Arial" w:hAnsi="Arial" w:cs="Arial"/>
          <w:sz w:val="22"/>
          <w:szCs w:val="22"/>
        </w:rPr>
        <w:t>instruction on factors read:</w:t>
      </w:r>
    </w:p>
    <w:p w14:paraId="7F250D47" w14:textId="77777777" w:rsidR="00E16584" w:rsidRPr="00C064D2" w:rsidRDefault="00E16584" w:rsidP="00254993">
      <w:pPr>
        <w:pStyle w:val="EndnoteText"/>
        <w:spacing w:line="276" w:lineRule="auto"/>
        <w:ind w:left="720"/>
        <w:jc w:val="both"/>
        <w:rPr>
          <w:rFonts w:ascii="Arial" w:hAnsi="Arial" w:cs="Arial"/>
          <w:sz w:val="22"/>
          <w:szCs w:val="22"/>
        </w:rPr>
      </w:pPr>
      <w:r w:rsidRPr="00C064D2">
        <w:rPr>
          <w:rFonts w:ascii="Arial" w:hAnsi="Arial" w:cs="Arial"/>
          <w:sz w:val="22"/>
          <w:szCs w:val="22"/>
        </w:rPr>
        <w:t>“There is no single factor that by itself determines whether there was innocent possession. In making that determination, you may consider any evidence which establishes that the defendant had knowing possession of a weapon, the manner in which the weapon came into the defendant's possession, the length of time the weapon remained in his/her possession, whether the defendant had an intent to use the weapon unlawfully or to safely dispose of it, the defendant's opportunity, if any, to turn the weapon over to the police or other appropriate authority, and whether and how the defendant disposed of the weapon.”</w:t>
      </w:r>
    </w:p>
    <w:p w14:paraId="1686214E" w14:textId="4B7B5354" w:rsidR="001A3F4B" w:rsidRPr="00C064D2" w:rsidRDefault="001A3F4B" w:rsidP="00254993">
      <w:pPr>
        <w:pStyle w:val="EndnoteText"/>
        <w:tabs>
          <w:tab w:val="left" w:pos="1260"/>
        </w:tabs>
        <w:spacing w:line="276" w:lineRule="auto"/>
        <w:jc w:val="both"/>
        <w:rPr>
          <w:rFonts w:ascii="Arial" w:hAnsi="Arial" w:cs="Arial"/>
          <w:sz w:val="22"/>
          <w:szCs w:val="22"/>
        </w:rPr>
      </w:pPr>
    </w:p>
    <w:p w14:paraId="3F6C8DA7" w14:textId="19898B3B" w:rsidR="00897A30" w:rsidRPr="00C064D2" w:rsidRDefault="00897A30" w:rsidP="00254993">
      <w:pPr>
        <w:pStyle w:val="EndnoteText"/>
        <w:tabs>
          <w:tab w:val="left" w:pos="1260"/>
        </w:tabs>
        <w:spacing w:line="276" w:lineRule="auto"/>
        <w:jc w:val="both"/>
        <w:rPr>
          <w:rFonts w:ascii="Arial" w:hAnsi="Arial" w:cs="Arial"/>
          <w:sz w:val="22"/>
          <w:szCs w:val="22"/>
        </w:rPr>
      </w:pPr>
      <w:r w:rsidRPr="00C064D2">
        <w:rPr>
          <w:rFonts w:ascii="Arial" w:hAnsi="Arial" w:cs="Arial"/>
          <w:sz w:val="22"/>
          <w:szCs w:val="22"/>
        </w:rPr>
        <w:t xml:space="preserve">   In December 2023, the instruction was amended</w:t>
      </w:r>
      <w:r w:rsidR="005A6DAE" w:rsidRPr="00C064D2">
        <w:rPr>
          <w:rFonts w:ascii="Arial" w:hAnsi="Arial" w:cs="Arial"/>
          <w:sz w:val="22"/>
          <w:szCs w:val="22"/>
        </w:rPr>
        <w:t xml:space="preserve"> primarily</w:t>
      </w:r>
      <w:r w:rsidRPr="00C064D2">
        <w:rPr>
          <w:rFonts w:ascii="Arial" w:hAnsi="Arial" w:cs="Arial"/>
          <w:sz w:val="22"/>
          <w:szCs w:val="22"/>
        </w:rPr>
        <w:t xml:space="preserve"> </w:t>
      </w:r>
      <w:r w:rsidR="00E2437C" w:rsidRPr="00C064D2">
        <w:rPr>
          <w:rFonts w:ascii="Arial" w:hAnsi="Arial" w:cs="Arial"/>
          <w:sz w:val="22"/>
          <w:szCs w:val="22"/>
        </w:rPr>
        <w:t xml:space="preserve">to </w:t>
      </w:r>
      <w:r w:rsidR="004B586C" w:rsidRPr="00C064D2">
        <w:rPr>
          <w:rFonts w:ascii="Arial" w:hAnsi="Arial" w:cs="Arial"/>
          <w:sz w:val="22"/>
          <w:szCs w:val="22"/>
        </w:rPr>
        <w:t>a</w:t>
      </w:r>
      <w:r w:rsidR="00B04438" w:rsidRPr="00C064D2">
        <w:rPr>
          <w:rFonts w:ascii="Arial" w:hAnsi="Arial" w:cs="Arial"/>
          <w:sz w:val="22"/>
          <w:szCs w:val="22"/>
        </w:rPr>
        <w:t>ccount for</w:t>
      </w:r>
      <w:r w:rsidR="00B07D71" w:rsidRPr="00C064D2">
        <w:rPr>
          <w:rFonts w:ascii="Arial" w:hAnsi="Arial" w:cs="Arial"/>
          <w:sz w:val="22"/>
          <w:szCs w:val="22"/>
        </w:rPr>
        <w:t xml:space="preserve"> the</w:t>
      </w:r>
      <w:r w:rsidR="00B04438" w:rsidRPr="00C064D2">
        <w:rPr>
          <w:rFonts w:ascii="Arial" w:hAnsi="Arial" w:cs="Arial"/>
          <w:sz w:val="22"/>
          <w:szCs w:val="22"/>
        </w:rPr>
        <w:t xml:space="preserve"> </w:t>
      </w:r>
      <w:r w:rsidR="004B462A" w:rsidRPr="00C064D2">
        <w:rPr>
          <w:rFonts w:ascii="Arial" w:hAnsi="Arial" w:cs="Arial"/>
          <w:sz w:val="22"/>
          <w:szCs w:val="22"/>
        </w:rPr>
        <w:t>Court of Appeals decision set forth in</w:t>
      </w:r>
      <w:r w:rsidR="004B586C" w:rsidRPr="00C064D2">
        <w:rPr>
          <w:rFonts w:ascii="Arial" w:hAnsi="Arial" w:cs="Arial"/>
          <w:sz w:val="22"/>
          <w:szCs w:val="22"/>
        </w:rPr>
        <w:t xml:space="preserve"> endnote (</w:t>
      </w:r>
      <w:r w:rsidR="006679F8" w:rsidRPr="00C064D2">
        <w:rPr>
          <w:rFonts w:ascii="Arial" w:hAnsi="Arial" w:cs="Arial"/>
          <w:sz w:val="22"/>
          <w:szCs w:val="22"/>
        </w:rPr>
        <w:t>8</w:t>
      </w:r>
      <w:r w:rsidR="004B586C" w:rsidRPr="00C064D2">
        <w:rPr>
          <w:rFonts w:ascii="Arial" w:hAnsi="Arial" w:cs="Arial"/>
          <w:sz w:val="22"/>
          <w:szCs w:val="22"/>
        </w:rPr>
        <w:t>)</w:t>
      </w:r>
      <w:r w:rsidR="004B462A" w:rsidRPr="00C064D2">
        <w:rPr>
          <w:rFonts w:ascii="Arial" w:hAnsi="Arial" w:cs="Arial"/>
          <w:sz w:val="22"/>
          <w:szCs w:val="22"/>
        </w:rPr>
        <w:t>.</w:t>
      </w:r>
      <w:r w:rsidR="004B586C" w:rsidRPr="00C064D2">
        <w:rPr>
          <w:rFonts w:ascii="Arial" w:hAnsi="Arial" w:cs="Arial"/>
          <w:sz w:val="22"/>
          <w:szCs w:val="22"/>
        </w:rPr>
        <w:t xml:space="preserve"> </w:t>
      </w:r>
    </w:p>
    <w:p w14:paraId="32B86ED3" w14:textId="77777777" w:rsidR="001A3F4B" w:rsidRPr="00C064D2" w:rsidRDefault="001A3F4B" w:rsidP="00254993">
      <w:pPr>
        <w:pStyle w:val="EndnoteText"/>
        <w:spacing w:line="276" w:lineRule="auto"/>
        <w:rPr>
          <w:rFonts w:ascii="Arial" w:hAnsi="Arial" w:cs="Arial"/>
          <w:sz w:val="22"/>
          <w:szCs w:val="22"/>
        </w:rPr>
      </w:pPr>
    </w:p>
  </w:endnote>
  <w:endnote w:id="2">
    <w:p w14:paraId="658251AF" w14:textId="2BDF7C47" w:rsidR="00E71EA2" w:rsidRPr="00C064D2" w:rsidRDefault="00E71EA2" w:rsidP="00254993">
      <w:pPr>
        <w:pStyle w:val="EndnoteText"/>
        <w:spacing w:line="276" w:lineRule="auto"/>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777DB5" w:rsidRPr="00C064D2">
        <w:rPr>
          <w:rFonts w:ascii="Arial" w:hAnsi="Arial" w:cs="Arial"/>
          <w:i/>
          <w:iCs/>
          <w:sz w:val="22"/>
          <w:szCs w:val="22"/>
        </w:rPr>
        <w:t>Williams,</w:t>
      </w:r>
      <w:r w:rsidR="00777DB5" w:rsidRPr="00C064D2">
        <w:rPr>
          <w:rFonts w:ascii="Arial" w:hAnsi="Arial" w:cs="Arial"/>
          <w:sz w:val="22"/>
          <w:szCs w:val="22"/>
        </w:rPr>
        <w:t xml:space="preserve"> 36 NY3d at 160-61. </w:t>
      </w:r>
      <w:r w:rsidRPr="00C064D2">
        <w:rPr>
          <w:rFonts w:ascii="Arial" w:hAnsi="Arial" w:cs="Arial"/>
          <w:sz w:val="22"/>
          <w:szCs w:val="22"/>
        </w:rPr>
        <w:t>summarized the applicable law as follows:</w:t>
      </w:r>
    </w:p>
    <w:p w14:paraId="53848E0D" w14:textId="77777777" w:rsidR="00E71EA2" w:rsidRPr="00C064D2" w:rsidRDefault="00E71EA2" w:rsidP="00254993">
      <w:pPr>
        <w:pStyle w:val="EndnoteText"/>
        <w:spacing w:line="276" w:lineRule="auto"/>
        <w:rPr>
          <w:rFonts w:ascii="Arial" w:hAnsi="Arial" w:cs="Arial"/>
          <w:sz w:val="22"/>
          <w:szCs w:val="22"/>
        </w:rPr>
      </w:pPr>
    </w:p>
    <w:p w14:paraId="1F4A6B08" w14:textId="77777777" w:rsidR="00E71EA2" w:rsidRPr="00C064D2" w:rsidRDefault="00E71EA2" w:rsidP="00254993">
      <w:pPr>
        <w:pStyle w:val="EndnoteText"/>
        <w:spacing w:line="276" w:lineRule="auto"/>
        <w:ind w:left="720" w:firstLine="648"/>
        <w:jc w:val="both"/>
        <w:rPr>
          <w:rFonts w:ascii="Arial" w:hAnsi="Arial" w:cs="Arial"/>
          <w:sz w:val="22"/>
          <w:szCs w:val="22"/>
          <w:lang w:val="x-none"/>
        </w:rPr>
      </w:pPr>
      <w:r w:rsidRPr="00C064D2">
        <w:rPr>
          <w:rFonts w:ascii="Arial" w:hAnsi="Arial" w:cs="Arial"/>
          <w:sz w:val="22"/>
          <w:szCs w:val="22"/>
          <w:lang w:val="x-none"/>
        </w:rPr>
        <w:t>This Court has long held that criminal possession of a weapon, as proscribed by the Penal Law,</w:t>
      </w:r>
      <w:r w:rsidRPr="00C064D2">
        <w:rPr>
          <w:rFonts w:ascii="Arial" w:hAnsi="Arial" w:cs="Arial"/>
          <w:sz w:val="22"/>
          <w:szCs w:val="22"/>
        </w:rPr>
        <w:t xml:space="preserve"> </w:t>
      </w:r>
      <w:r w:rsidRPr="00C064D2">
        <w:rPr>
          <w:rFonts w:ascii="Arial" w:hAnsi="Arial" w:cs="Arial"/>
          <w:sz w:val="22"/>
          <w:szCs w:val="22"/>
          <w:lang w:val="x-none"/>
        </w:rPr>
        <w:t>should not be</w:t>
      </w:r>
      <w:r w:rsidRPr="00C064D2">
        <w:rPr>
          <w:rFonts w:ascii="Arial" w:hAnsi="Arial" w:cs="Arial"/>
          <w:sz w:val="22"/>
          <w:szCs w:val="22"/>
        </w:rPr>
        <w:t xml:space="preserve"> </w:t>
      </w:r>
      <w:r w:rsidRPr="00C064D2">
        <w:rPr>
          <w:rFonts w:ascii="Arial" w:hAnsi="Arial" w:cs="Arial"/>
          <w:sz w:val="22"/>
          <w:szCs w:val="22"/>
          <w:lang w:val="x-none"/>
        </w:rPr>
        <w:t>construed to mean a possession . . . which might result temporarily and incidentally from the performance of some lawful</w:t>
      </w:r>
      <w:r w:rsidRPr="00C064D2">
        <w:rPr>
          <w:rFonts w:ascii="Arial" w:hAnsi="Arial" w:cs="Arial"/>
          <w:sz w:val="22"/>
          <w:szCs w:val="22"/>
        </w:rPr>
        <w:t xml:space="preserve"> </w:t>
      </w:r>
      <w:r w:rsidRPr="00C064D2">
        <w:rPr>
          <w:rFonts w:ascii="Arial" w:hAnsi="Arial" w:cs="Arial"/>
          <w:sz w:val="22"/>
          <w:szCs w:val="22"/>
          <w:lang w:val="x-none"/>
        </w:rPr>
        <w:t>act</w:t>
      </w:r>
      <w:r w:rsidRPr="00C064D2">
        <w:rPr>
          <w:rFonts w:ascii="Arial" w:hAnsi="Arial" w:cs="Arial"/>
          <w:sz w:val="22"/>
          <w:szCs w:val="22"/>
        </w:rPr>
        <w:t>.</w:t>
      </w:r>
      <w:r w:rsidRPr="00C064D2">
        <w:rPr>
          <w:rFonts w:ascii="Arial" w:hAnsi="Arial" w:cs="Arial"/>
          <w:sz w:val="22"/>
          <w:szCs w:val="22"/>
          <w:lang w:val="x-none"/>
        </w:rPr>
        <w:t xml:space="preserve">  In order to trigger the</w:t>
      </w:r>
      <w:r w:rsidRPr="00C064D2">
        <w:rPr>
          <w:rFonts w:ascii="Arial" w:hAnsi="Arial" w:cs="Arial"/>
          <w:sz w:val="22"/>
          <w:szCs w:val="22"/>
        </w:rPr>
        <w:t xml:space="preserve"> </w:t>
      </w:r>
      <w:r w:rsidRPr="00C064D2">
        <w:rPr>
          <w:rFonts w:ascii="Arial" w:hAnsi="Arial" w:cs="Arial"/>
          <w:sz w:val="22"/>
          <w:szCs w:val="22"/>
          <w:lang w:val="x-none"/>
        </w:rPr>
        <w:t>right to a jury charge concerning the defense of temporary and lawful possession, there must be proof in the record</w:t>
      </w:r>
      <w:r w:rsidRPr="00C064D2">
        <w:rPr>
          <w:rFonts w:ascii="Arial" w:hAnsi="Arial" w:cs="Arial"/>
          <w:sz w:val="22"/>
          <w:szCs w:val="22"/>
        </w:rPr>
        <w:t xml:space="preserve"> </w:t>
      </w:r>
      <w:r w:rsidRPr="00C064D2">
        <w:rPr>
          <w:rFonts w:ascii="Arial" w:hAnsi="Arial" w:cs="Arial"/>
          <w:sz w:val="22"/>
          <w:szCs w:val="22"/>
          <w:lang w:val="x-none"/>
        </w:rPr>
        <w:t>showing a legal excuse for . . . possession as well as facts tending to establish that, once possession has been obtained, the</w:t>
      </w:r>
      <w:r w:rsidRPr="00C064D2">
        <w:rPr>
          <w:rFonts w:ascii="Arial" w:hAnsi="Arial" w:cs="Arial"/>
          <w:sz w:val="22"/>
          <w:szCs w:val="22"/>
        </w:rPr>
        <w:t xml:space="preserve"> </w:t>
      </w:r>
      <w:r w:rsidRPr="00C064D2">
        <w:rPr>
          <w:rFonts w:ascii="Arial" w:hAnsi="Arial" w:cs="Arial"/>
          <w:sz w:val="22"/>
          <w:szCs w:val="22"/>
          <w:lang w:val="x-none"/>
        </w:rPr>
        <w:t>weapon had not been used in a dangerous manner</w:t>
      </w:r>
      <w:r w:rsidRPr="00C064D2">
        <w:rPr>
          <w:rFonts w:ascii="Arial" w:hAnsi="Arial" w:cs="Arial"/>
          <w:sz w:val="22"/>
          <w:szCs w:val="22"/>
        </w:rPr>
        <w:t xml:space="preserve">. </w:t>
      </w:r>
      <w:r w:rsidRPr="00C064D2">
        <w:rPr>
          <w:rFonts w:ascii="Arial" w:hAnsi="Arial" w:cs="Arial"/>
          <w:sz w:val="22"/>
          <w:szCs w:val="22"/>
          <w:lang w:val="x-none"/>
        </w:rPr>
        <w:t>In accordance</w:t>
      </w:r>
      <w:r w:rsidRPr="00C064D2">
        <w:rPr>
          <w:rFonts w:ascii="Arial" w:hAnsi="Arial" w:cs="Arial"/>
          <w:sz w:val="22"/>
          <w:szCs w:val="22"/>
        </w:rPr>
        <w:t xml:space="preserve"> </w:t>
      </w:r>
      <w:r w:rsidRPr="00C064D2">
        <w:rPr>
          <w:rFonts w:ascii="Arial" w:hAnsi="Arial" w:cs="Arial"/>
          <w:sz w:val="22"/>
          <w:szCs w:val="22"/>
          <w:lang w:val="x-none"/>
        </w:rPr>
        <w:t>with those principles, the pattern jury charge relating to temporary and lawful possession explains that [a] person has</w:t>
      </w:r>
      <w:r w:rsidRPr="00C064D2">
        <w:rPr>
          <w:rFonts w:ascii="Arial" w:hAnsi="Arial" w:cs="Arial"/>
          <w:sz w:val="22"/>
          <w:szCs w:val="22"/>
        </w:rPr>
        <w:t xml:space="preserve"> </w:t>
      </w:r>
      <w:r w:rsidRPr="00C064D2">
        <w:rPr>
          <w:rFonts w:ascii="Arial" w:hAnsi="Arial" w:cs="Arial"/>
          <w:sz w:val="22"/>
          <w:szCs w:val="22"/>
          <w:lang w:val="x-none"/>
        </w:rPr>
        <w:t>innocent possession of a weapon when [that person] comes into possession of the weapon in an excusable manner and</w:t>
      </w:r>
      <w:r w:rsidRPr="00C064D2">
        <w:rPr>
          <w:rFonts w:ascii="Arial" w:hAnsi="Arial" w:cs="Arial"/>
          <w:sz w:val="22"/>
          <w:szCs w:val="22"/>
        </w:rPr>
        <w:t xml:space="preserve"> </w:t>
      </w:r>
      <w:r w:rsidRPr="00C064D2">
        <w:rPr>
          <w:rFonts w:ascii="Arial" w:hAnsi="Arial" w:cs="Arial"/>
          <w:sz w:val="22"/>
          <w:szCs w:val="22"/>
          <w:lang w:val="x-none"/>
        </w:rPr>
        <w:t>maintains possession, or intends to maintain possession, of the weapon only long enough to dispose of it safely</w:t>
      </w:r>
      <w:r w:rsidRPr="00C064D2">
        <w:rPr>
          <w:rFonts w:ascii="Arial" w:hAnsi="Arial" w:cs="Arial"/>
          <w:sz w:val="22"/>
          <w:szCs w:val="22"/>
        </w:rPr>
        <w:t xml:space="preserve"> </w:t>
      </w:r>
      <w:r w:rsidRPr="00C064D2">
        <w:rPr>
          <w:rFonts w:ascii="Arial" w:hAnsi="Arial" w:cs="Arial"/>
          <w:sz w:val="22"/>
          <w:szCs w:val="22"/>
          <w:lang w:val="x-none"/>
        </w:rPr>
        <w:t>(CJI2d[NY] Temporary and Lawful Possession).</w:t>
      </w:r>
    </w:p>
    <w:p w14:paraId="04F8D160" w14:textId="77777777" w:rsidR="00E71EA2" w:rsidRPr="00C064D2" w:rsidRDefault="00E71EA2" w:rsidP="00254993">
      <w:pPr>
        <w:pStyle w:val="EndnoteText"/>
        <w:spacing w:line="276" w:lineRule="auto"/>
        <w:rPr>
          <w:rFonts w:ascii="Arial" w:hAnsi="Arial" w:cs="Arial"/>
          <w:sz w:val="22"/>
          <w:szCs w:val="22"/>
          <w:lang w:val="x-none"/>
        </w:rPr>
      </w:pPr>
    </w:p>
    <w:p w14:paraId="789E7CBE" w14:textId="43A4D646" w:rsidR="00E71EA2" w:rsidRPr="00C064D2" w:rsidRDefault="00E71EA2" w:rsidP="00254993">
      <w:pPr>
        <w:pStyle w:val="EndnoteText"/>
        <w:spacing w:line="276" w:lineRule="auto"/>
        <w:ind w:left="720" w:firstLine="648"/>
        <w:jc w:val="both"/>
        <w:rPr>
          <w:rFonts w:ascii="Arial" w:hAnsi="Arial" w:cs="Arial"/>
          <w:sz w:val="22"/>
          <w:szCs w:val="22"/>
        </w:rPr>
      </w:pPr>
      <w:r w:rsidRPr="00C064D2">
        <w:rPr>
          <w:rFonts w:ascii="Arial" w:hAnsi="Arial" w:cs="Arial"/>
          <w:sz w:val="22"/>
          <w:szCs w:val="22"/>
          <w:lang w:val="x-none"/>
        </w:rPr>
        <w:t>In that regard, we have explained that [a] defendant may not be guilty of unlawful possession if the jury finds that</w:t>
      </w:r>
      <w:r w:rsidRPr="00C064D2">
        <w:rPr>
          <w:rFonts w:ascii="Arial" w:hAnsi="Arial" w:cs="Arial"/>
          <w:sz w:val="22"/>
          <w:szCs w:val="22"/>
        </w:rPr>
        <w:t xml:space="preserve"> </w:t>
      </w:r>
      <w:r w:rsidRPr="00C064D2">
        <w:rPr>
          <w:rFonts w:ascii="Arial" w:hAnsi="Arial" w:cs="Arial"/>
          <w:sz w:val="22"/>
          <w:szCs w:val="22"/>
          <w:lang w:val="x-none"/>
        </w:rPr>
        <w:t xml:space="preserve">[the defendant] found the weapon shortly before [the </w:t>
      </w:r>
      <w:r w:rsidRPr="00C064D2">
        <w:rPr>
          <w:rFonts w:ascii="Arial" w:hAnsi="Arial" w:cs="Arial"/>
          <w:sz w:val="22"/>
          <w:szCs w:val="22"/>
        </w:rPr>
        <w:t>defendant’s</w:t>
      </w:r>
      <w:r w:rsidRPr="00C064D2">
        <w:rPr>
          <w:rFonts w:ascii="Arial" w:hAnsi="Arial" w:cs="Arial"/>
          <w:sz w:val="22"/>
          <w:szCs w:val="22"/>
          <w:lang w:val="x-none"/>
        </w:rPr>
        <w:t>] possession of it was discovered and [the defendant]</w:t>
      </w:r>
      <w:r w:rsidRPr="00C064D2">
        <w:rPr>
          <w:rFonts w:ascii="Arial" w:hAnsi="Arial" w:cs="Arial"/>
          <w:sz w:val="22"/>
          <w:szCs w:val="22"/>
        </w:rPr>
        <w:t xml:space="preserve"> </w:t>
      </w:r>
      <w:r w:rsidRPr="00C064D2">
        <w:rPr>
          <w:rFonts w:ascii="Arial" w:hAnsi="Arial" w:cs="Arial"/>
          <w:sz w:val="22"/>
          <w:szCs w:val="22"/>
          <w:lang w:val="x-none"/>
        </w:rPr>
        <w:t>intended to turn it over to the authorities</w:t>
      </w:r>
      <w:r w:rsidRPr="00C064D2">
        <w:rPr>
          <w:rFonts w:ascii="Arial" w:hAnsi="Arial" w:cs="Arial"/>
          <w:sz w:val="22"/>
          <w:szCs w:val="22"/>
        </w:rPr>
        <w:t>.</w:t>
      </w:r>
      <w:r w:rsidRPr="00C064D2">
        <w:rPr>
          <w:rFonts w:ascii="Arial" w:hAnsi="Arial" w:cs="Arial"/>
          <w:sz w:val="22"/>
          <w:szCs w:val="22"/>
          <w:lang w:val="x-none"/>
        </w:rPr>
        <w:t>" We have also indicated that temporary and lawful possession may result where a</w:t>
      </w:r>
      <w:r w:rsidRPr="00C064D2">
        <w:rPr>
          <w:rFonts w:ascii="Arial" w:hAnsi="Arial" w:cs="Arial"/>
          <w:sz w:val="22"/>
          <w:szCs w:val="22"/>
        </w:rPr>
        <w:t xml:space="preserve"> </w:t>
      </w:r>
      <w:r w:rsidRPr="00C064D2">
        <w:rPr>
          <w:rFonts w:ascii="Arial" w:hAnsi="Arial" w:cs="Arial"/>
          <w:sz w:val="22"/>
          <w:szCs w:val="22"/>
          <w:lang w:val="x-none"/>
        </w:rPr>
        <w:t>defendant took [the firearm] from an assailant in the course of a fight" and the</w:t>
      </w:r>
      <w:r w:rsidRPr="00C064D2">
        <w:rPr>
          <w:rFonts w:ascii="Arial" w:hAnsi="Arial" w:cs="Arial"/>
          <w:sz w:val="22"/>
          <w:szCs w:val="22"/>
        </w:rPr>
        <w:t xml:space="preserve"> </w:t>
      </w:r>
      <w:r w:rsidRPr="00C064D2">
        <w:rPr>
          <w:rFonts w:ascii="Arial" w:hAnsi="Arial" w:cs="Arial"/>
          <w:sz w:val="22"/>
          <w:szCs w:val="22"/>
          <w:lang w:val="x-none"/>
        </w:rPr>
        <w:t xml:space="preserve">circumstances do not otherwise evince an intent to maintain unlawful possession of the weapon. </w:t>
      </w:r>
      <w:r w:rsidRPr="00C064D2">
        <w:rPr>
          <w:rFonts w:ascii="Arial" w:hAnsi="Arial" w:cs="Arial"/>
          <w:sz w:val="22"/>
          <w:szCs w:val="22"/>
        </w:rPr>
        <w:t xml:space="preserve"> </w:t>
      </w:r>
      <w:r w:rsidRPr="00C064D2">
        <w:rPr>
          <w:rFonts w:ascii="Arial" w:hAnsi="Arial" w:cs="Arial"/>
          <w:sz w:val="22"/>
          <w:szCs w:val="22"/>
          <w:lang w:val="x-none"/>
        </w:rPr>
        <w:t>In such scenarios, [t]he innocent nature of the possession</w:t>
      </w:r>
      <w:r w:rsidRPr="00C064D2">
        <w:rPr>
          <w:rFonts w:ascii="Arial" w:hAnsi="Arial" w:cs="Arial"/>
          <w:sz w:val="22"/>
          <w:szCs w:val="22"/>
        </w:rPr>
        <w:t xml:space="preserve"> </w:t>
      </w:r>
      <w:r w:rsidRPr="00C064D2">
        <w:rPr>
          <w:rFonts w:ascii="Arial" w:hAnsi="Arial" w:cs="Arial"/>
          <w:sz w:val="22"/>
          <w:szCs w:val="22"/>
          <w:lang w:val="x-none"/>
        </w:rPr>
        <w:t>negates . . . the criminal act of possession</w:t>
      </w:r>
      <w:r w:rsidRPr="00C064D2">
        <w:rPr>
          <w:rFonts w:ascii="Arial" w:hAnsi="Arial" w:cs="Arial"/>
          <w:sz w:val="22"/>
          <w:szCs w:val="22"/>
        </w:rPr>
        <w:t xml:space="preserve">. </w:t>
      </w:r>
      <w:r w:rsidRPr="00C064D2">
        <w:rPr>
          <w:rFonts w:ascii="Arial" w:hAnsi="Arial" w:cs="Arial"/>
          <w:sz w:val="22"/>
          <w:szCs w:val="22"/>
          <w:lang w:val="x-none"/>
        </w:rPr>
        <w:t xml:space="preserve"> Ultimately, whether the weapon is found</w:t>
      </w:r>
      <w:r w:rsidRPr="00C064D2">
        <w:rPr>
          <w:rFonts w:ascii="Arial" w:hAnsi="Arial" w:cs="Arial"/>
          <w:sz w:val="22"/>
          <w:szCs w:val="22"/>
        </w:rPr>
        <w:t xml:space="preserve"> </w:t>
      </w:r>
      <w:r w:rsidRPr="00C064D2">
        <w:rPr>
          <w:rFonts w:ascii="Arial" w:hAnsi="Arial" w:cs="Arial"/>
          <w:sz w:val="22"/>
          <w:szCs w:val="22"/>
          <w:lang w:val="x-none"/>
        </w:rPr>
        <w:t>fortuitously or obtained by disarming an attacker, the underlying purpose of the charge is to foster a civic duty on the part</w:t>
      </w:r>
      <w:r w:rsidRPr="00C064D2">
        <w:rPr>
          <w:rFonts w:ascii="Arial" w:hAnsi="Arial" w:cs="Arial"/>
          <w:sz w:val="22"/>
          <w:szCs w:val="22"/>
        </w:rPr>
        <w:t xml:space="preserve"> </w:t>
      </w:r>
      <w:r w:rsidRPr="00C064D2">
        <w:rPr>
          <w:rFonts w:ascii="Arial" w:hAnsi="Arial" w:cs="Arial"/>
          <w:sz w:val="22"/>
          <w:szCs w:val="22"/>
          <w:lang w:val="x-none"/>
        </w:rPr>
        <w:t>of citizens to surrender dangerous weapons to the police</w:t>
      </w:r>
      <w:r w:rsidRPr="00C064D2">
        <w:rPr>
          <w:rFonts w:ascii="Arial" w:hAnsi="Arial" w:cs="Arial"/>
          <w:sz w:val="22"/>
          <w:szCs w:val="22"/>
        </w:rPr>
        <w:t>.</w:t>
      </w:r>
      <w:r w:rsidRPr="00C064D2">
        <w:rPr>
          <w:rFonts w:ascii="Arial" w:hAnsi="Arial" w:cs="Arial"/>
          <w:sz w:val="22"/>
          <w:szCs w:val="22"/>
          <w:lang w:val="x-none"/>
        </w:rPr>
        <w:t xml:space="preserve"> </w:t>
      </w:r>
      <w:r w:rsidRPr="00C064D2">
        <w:rPr>
          <w:rFonts w:ascii="Arial" w:hAnsi="Arial" w:cs="Arial"/>
          <w:sz w:val="22"/>
          <w:szCs w:val="22"/>
        </w:rPr>
        <w:t>(citations and quotation marks omitted).</w:t>
      </w:r>
    </w:p>
    <w:p w14:paraId="0571C7E4" w14:textId="77777777" w:rsidR="00827079" w:rsidRPr="00C064D2" w:rsidRDefault="00827079" w:rsidP="00254993">
      <w:pPr>
        <w:pStyle w:val="EndnoteText"/>
        <w:spacing w:line="276" w:lineRule="auto"/>
        <w:ind w:left="720" w:firstLine="648"/>
        <w:jc w:val="both"/>
        <w:rPr>
          <w:rFonts w:ascii="Arial" w:hAnsi="Arial" w:cs="Arial"/>
          <w:sz w:val="22"/>
          <w:szCs w:val="22"/>
        </w:rPr>
      </w:pPr>
    </w:p>
  </w:endnote>
  <w:endnote w:id="3">
    <w:p w14:paraId="363ECCAC" w14:textId="703A2166" w:rsidR="00787125" w:rsidRPr="00C064D2" w:rsidRDefault="00787125"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9C0E91" w:rsidRPr="00C064D2">
        <w:rPr>
          <w:rFonts w:ascii="Arial" w:eastAsia="Times New Roman" w:hAnsi="Arial" w:cs="Arial"/>
          <w:i/>
          <w:sz w:val="22"/>
          <w:szCs w:val="22"/>
          <w:lang w:val="x-none"/>
        </w:rPr>
        <w:t>People</w:t>
      </w:r>
      <w:r w:rsidR="009C0E91" w:rsidRPr="00C064D2">
        <w:rPr>
          <w:rFonts w:ascii="Arial" w:eastAsia="Times New Roman" w:hAnsi="Arial" w:cs="Arial"/>
          <w:i/>
          <w:sz w:val="22"/>
          <w:szCs w:val="22"/>
        </w:rPr>
        <w:t xml:space="preserve"> </w:t>
      </w:r>
      <w:r w:rsidR="009C0E91" w:rsidRPr="00C064D2">
        <w:rPr>
          <w:rFonts w:ascii="Arial" w:eastAsia="Times New Roman" w:hAnsi="Arial" w:cs="Arial"/>
          <w:i/>
          <w:sz w:val="22"/>
          <w:szCs w:val="22"/>
          <w:lang w:val="x-none"/>
        </w:rPr>
        <w:t>v. Snyder</w:t>
      </w:r>
      <w:r w:rsidR="009C0E91" w:rsidRPr="00C064D2">
        <w:rPr>
          <w:rFonts w:ascii="Arial" w:eastAsia="Times New Roman" w:hAnsi="Arial" w:cs="Arial"/>
          <w:sz w:val="22"/>
          <w:szCs w:val="22"/>
          <w:lang w:val="x-none"/>
        </w:rPr>
        <w:t>, 73 NY2d 900</w:t>
      </w:r>
      <w:r w:rsidR="009C0E91" w:rsidRPr="00C064D2">
        <w:rPr>
          <w:rFonts w:ascii="Arial" w:eastAsia="Times New Roman" w:hAnsi="Arial" w:cs="Arial"/>
          <w:sz w:val="22"/>
          <w:szCs w:val="22"/>
        </w:rPr>
        <w:t>, 901-02 [</w:t>
      </w:r>
      <w:r w:rsidR="009C0E91" w:rsidRPr="00C064D2">
        <w:rPr>
          <w:rFonts w:ascii="Arial" w:eastAsia="Times New Roman" w:hAnsi="Arial" w:cs="Arial"/>
          <w:sz w:val="22"/>
          <w:szCs w:val="22"/>
          <w:lang w:val="x-none"/>
        </w:rPr>
        <w:t>1989</w:t>
      </w:r>
      <w:r w:rsidR="009C0E91" w:rsidRPr="00C064D2">
        <w:rPr>
          <w:rFonts w:ascii="Arial" w:eastAsia="Times New Roman" w:hAnsi="Arial" w:cs="Arial"/>
          <w:sz w:val="22"/>
          <w:szCs w:val="22"/>
        </w:rPr>
        <w:t xml:space="preserve">] [The defendants wrested a loaded pistol from another person during a fight and made no effort thereafter to safely dispose of the weapon, in particular to take it the State Police barracks that was “around the corner” from where they took possession of the pistol]; </w:t>
      </w:r>
      <w:r w:rsidR="009C0E91" w:rsidRPr="00C064D2">
        <w:rPr>
          <w:rFonts w:ascii="Arial" w:eastAsia="Times New Roman" w:hAnsi="Arial" w:cs="Arial"/>
          <w:i/>
          <w:sz w:val="22"/>
          <w:szCs w:val="22"/>
          <w:lang w:val="x-none"/>
        </w:rPr>
        <w:t>People v. Banks</w:t>
      </w:r>
      <w:r w:rsidR="009C0E91" w:rsidRPr="00C064D2">
        <w:rPr>
          <w:rFonts w:ascii="Arial" w:eastAsia="Times New Roman" w:hAnsi="Arial" w:cs="Arial"/>
          <w:sz w:val="22"/>
          <w:szCs w:val="22"/>
          <w:lang w:val="x-none"/>
        </w:rPr>
        <w:t>, 76 N.Y.2d 799</w:t>
      </w:r>
      <w:r w:rsidR="009C0E91" w:rsidRPr="00C064D2">
        <w:rPr>
          <w:rFonts w:ascii="Arial" w:eastAsia="Times New Roman" w:hAnsi="Arial" w:cs="Arial"/>
          <w:sz w:val="22"/>
          <w:szCs w:val="22"/>
        </w:rPr>
        <w:t xml:space="preserve"> [</w:t>
      </w:r>
      <w:r w:rsidR="009C0E91" w:rsidRPr="00C064D2">
        <w:rPr>
          <w:rFonts w:ascii="Arial" w:eastAsia="Times New Roman" w:hAnsi="Arial" w:cs="Arial"/>
          <w:sz w:val="22"/>
          <w:szCs w:val="22"/>
          <w:lang w:val="x-none"/>
        </w:rPr>
        <w:t>1990</w:t>
      </w:r>
      <w:r w:rsidR="009C0E91" w:rsidRPr="00C064D2">
        <w:rPr>
          <w:rFonts w:ascii="Arial" w:eastAsia="Times New Roman" w:hAnsi="Arial" w:cs="Arial"/>
          <w:sz w:val="22"/>
          <w:szCs w:val="22"/>
        </w:rPr>
        <w:t>] [while acquiring the weapon by disarming another in a fight “could be deemed justified,” the defendant was not justified in “conceal[ing] the weapon on his person and determine[ing] to transport it through the streets and on the subway into [another borough] where he proposed to ‘throw it down a sewer’ ”].</w:t>
      </w:r>
    </w:p>
  </w:endnote>
  <w:endnote w:id="4">
    <w:p w14:paraId="5B2577EB" w14:textId="77777777" w:rsidR="00FB38A9" w:rsidRDefault="00FB38A9"/>
    <w:p w14:paraId="3C7957C6" w14:textId="53D6DCC3" w:rsidR="00787125" w:rsidRPr="00C064D2" w:rsidRDefault="00787125" w:rsidP="00254993">
      <w:pPr>
        <w:pStyle w:val="EndnoteText"/>
        <w:spacing w:line="276" w:lineRule="auto"/>
        <w:rPr>
          <w:rFonts w:ascii="Arial" w:hAnsi="Arial" w:cs="Arial"/>
          <w:sz w:val="22"/>
          <w:szCs w:val="22"/>
        </w:rPr>
      </w:pPr>
    </w:p>
  </w:endnote>
  <w:endnote w:id="5">
    <w:p w14:paraId="5B860F2A" w14:textId="41EBD9BE" w:rsidR="007D3414" w:rsidRPr="00C064D2" w:rsidRDefault="00AB04A4" w:rsidP="00254993">
      <w:pPr>
        <w:spacing w:line="276" w:lineRule="auto"/>
        <w:jc w:val="both"/>
        <w:rPr>
          <w:rFonts w:ascii="Arial" w:hAnsi="Arial" w:cs="Arial"/>
        </w:rPr>
      </w:pPr>
      <w:r w:rsidRPr="00C064D2">
        <w:rPr>
          <w:rFonts w:ascii="Arial" w:hAnsi="Arial" w:cs="Arial"/>
          <w:vertAlign w:val="superscript"/>
        </w:rPr>
        <w:t>4</w:t>
      </w:r>
      <w:r w:rsidR="007D3414" w:rsidRPr="00C064D2">
        <w:rPr>
          <w:rFonts w:ascii="Arial" w:hAnsi="Arial" w:cs="Arial"/>
          <w:vertAlign w:val="superscript"/>
        </w:rPr>
        <w:t xml:space="preserve"> </w:t>
      </w:r>
      <w:r w:rsidR="007D3414" w:rsidRPr="00C064D2">
        <w:rPr>
          <w:rFonts w:ascii="Arial" w:hAnsi="Arial" w:cs="Arial"/>
          <w:i/>
          <w:iCs/>
        </w:rPr>
        <w:t>Williams</w:t>
      </w:r>
      <w:r w:rsidR="007D3414" w:rsidRPr="00C064D2">
        <w:rPr>
          <w:rFonts w:ascii="Arial" w:hAnsi="Arial" w:cs="Arial"/>
        </w:rPr>
        <w:t xml:space="preserve"> at 163: “</w:t>
      </w:r>
      <w:r w:rsidR="007D3414" w:rsidRPr="00C064D2">
        <w:rPr>
          <w:rFonts w:ascii="Arial" w:eastAsiaTheme="minorEastAsia" w:hAnsi="Arial" w:cs="Arial"/>
          <w:kern w:val="2"/>
          <w14:ligatures w14:val="standardContextual"/>
        </w:rPr>
        <w:t>the law is clear that defendant may not avoid the criminal [possession] charge by claiming that he possessed the weapon for his protection.” (internal quotation marks omitted).</w:t>
      </w:r>
    </w:p>
    <w:p w14:paraId="24C28862" w14:textId="77777777" w:rsidR="00AB04B2" w:rsidRPr="00C064D2" w:rsidRDefault="00AB04B2" w:rsidP="00254993">
      <w:pPr>
        <w:pStyle w:val="EndnoteText"/>
        <w:spacing w:line="276" w:lineRule="auto"/>
        <w:rPr>
          <w:rFonts w:ascii="Arial" w:hAnsi="Arial" w:cs="Arial"/>
          <w:sz w:val="22"/>
          <w:szCs w:val="22"/>
        </w:rPr>
      </w:pPr>
    </w:p>
  </w:endnote>
  <w:endnote w:id="6">
    <w:p w14:paraId="46000336" w14:textId="4C9CEBF7" w:rsidR="00406302" w:rsidRPr="00C064D2" w:rsidRDefault="00406302"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Pr="00C064D2">
        <w:rPr>
          <w:rFonts w:ascii="Arial" w:hAnsi="Arial" w:cs="Arial"/>
          <w:i/>
          <w:iCs/>
          <w:sz w:val="22"/>
          <w:szCs w:val="22"/>
        </w:rPr>
        <w:t>People v Peterson</w:t>
      </w:r>
      <w:r w:rsidRPr="00C064D2">
        <w:rPr>
          <w:rFonts w:ascii="Arial" w:hAnsi="Arial" w:cs="Arial"/>
          <w:sz w:val="22"/>
          <w:szCs w:val="22"/>
        </w:rPr>
        <w:t>, 233 AD2d 533, 533-34 [2d Dept 1996] [</w:t>
      </w:r>
      <w:r w:rsidR="00163D96" w:rsidRPr="00C064D2">
        <w:rPr>
          <w:rFonts w:ascii="Arial" w:hAnsi="Arial" w:cs="Arial"/>
          <w:sz w:val="22"/>
          <w:szCs w:val="22"/>
        </w:rPr>
        <w:t>the defense should have been charged where the “</w:t>
      </w:r>
      <w:r w:rsidRPr="00C064D2">
        <w:rPr>
          <w:rFonts w:ascii="Arial" w:hAnsi="Arial" w:cs="Arial"/>
          <w:sz w:val="22"/>
          <w:szCs w:val="22"/>
        </w:rPr>
        <w:t>defendant testified that he was confronted by the victim who was holding a gun, and believing that he was about to be robbed he grabbed the gun and fired three times in self-defense. He walked away in a state of shock and was arrested minutes later after a brief chase</w:t>
      </w:r>
      <w:r w:rsidR="00163D96" w:rsidRPr="00C064D2">
        <w:rPr>
          <w:rFonts w:ascii="Arial" w:hAnsi="Arial" w:cs="Arial"/>
          <w:sz w:val="22"/>
          <w:szCs w:val="22"/>
        </w:rPr>
        <w:t>].</w:t>
      </w:r>
    </w:p>
    <w:p w14:paraId="09881725" w14:textId="77777777" w:rsidR="00406302" w:rsidRPr="00C064D2" w:rsidRDefault="00406302" w:rsidP="00254993">
      <w:pPr>
        <w:pStyle w:val="EndnoteText"/>
        <w:spacing w:line="276" w:lineRule="auto"/>
        <w:rPr>
          <w:rFonts w:ascii="Arial" w:hAnsi="Arial" w:cs="Arial"/>
          <w:sz w:val="22"/>
          <w:szCs w:val="22"/>
        </w:rPr>
      </w:pPr>
    </w:p>
  </w:endnote>
  <w:endnote w:id="7">
    <w:p w14:paraId="2AA2C26E" w14:textId="0EE1BBE2" w:rsidR="00E2508A" w:rsidRPr="00C064D2" w:rsidRDefault="009E3315" w:rsidP="00254993">
      <w:pPr>
        <w:autoSpaceDE w:val="0"/>
        <w:autoSpaceDN w:val="0"/>
        <w:adjustRightInd w:val="0"/>
        <w:snapToGrid w:val="0"/>
        <w:spacing w:before="10" w:line="276" w:lineRule="auto"/>
        <w:ind w:right="0"/>
        <w:jc w:val="both"/>
        <w:rPr>
          <w:rFonts w:ascii="Arial" w:eastAsia="Times New Roman" w:hAnsi="Arial" w:cs="Arial"/>
          <w14:ligatures w14:val="standardContextual"/>
        </w:rPr>
      </w:pPr>
      <w:r w:rsidRPr="00C064D2">
        <w:rPr>
          <w:rStyle w:val="EndnoteReference"/>
          <w:rFonts w:ascii="Arial" w:hAnsi="Arial" w:cs="Arial"/>
        </w:rPr>
        <w:endnoteRef/>
      </w:r>
      <w:r w:rsidRPr="00C064D2">
        <w:rPr>
          <w:rFonts w:ascii="Arial" w:hAnsi="Arial" w:cs="Arial"/>
        </w:rPr>
        <w:t xml:space="preserve"> </w:t>
      </w:r>
      <w:r w:rsidRPr="00C064D2">
        <w:rPr>
          <w:rFonts w:ascii="Arial" w:hAnsi="Arial" w:cs="Arial"/>
          <w:i/>
          <w:iCs/>
        </w:rPr>
        <w:t xml:space="preserve">See </w:t>
      </w:r>
      <w:r w:rsidRPr="00C064D2">
        <w:rPr>
          <w:rFonts w:ascii="Arial" w:eastAsia="Times New Roman" w:hAnsi="Arial" w:cs="Arial"/>
          <w:bCs/>
          <w:i/>
          <w:iCs/>
          <w:lang w:val="x-none"/>
          <w14:ligatures w14:val="standardContextual"/>
        </w:rPr>
        <w:t>People v Ruiz</w:t>
      </w:r>
      <w:r w:rsidRPr="00C064D2">
        <w:rPr>
          <w:rFonts w:ascii="Arial" w:eastAsia="Times New Roman" w:hAnsi="Arial" w:cs="Arial"/>
          <w:bCs/>
          <w:i/>
          <w:iCs/>
          <w14:ligatures w14:val="standardContextual"/>
        </w:rPr>
        <w:t xml:space="preserve">, </w:t>
      </w:r>
      <w:r w:rsidRPr="00C064D2">
        <w:rPr>
          <w:rFonts w:ascii="Arial" w:eastAsia="Times New Roman" w:hAnsi="Arial" w:cs="Arial"/>
          <w:bCs/>
          <w14:ligatures w14:val="standardContextual"/>
        </w:rPr>
        <w:t>39 N.Y.3d</w:t>
      </w:r>
      <w:r w:rsidR="0009197F" w:rsidRPr="00C064D2">
        <w:rPr>
          <w:rFonts w:ascii="Arial" w:eastAsia="Times New Roman" w:hAnsi="Arial" w:cs="Arial"/>
          <w:bCs/>
          <w14:ligatures w14:val="standardContextual"/>
        </w:rPr>
        <w:t xml:space="preserve"> </w:t>
      </w:r>
      <w:r w:rsidRPr="00C064D2">
        <w:rPr>
          <w:rFonts w:ascii="Arial" w:eastAsia="Times New Roman" w:hAnsi="Arial" w:cs="Arial"/>
          <w:bCs/>
          <w14:ligatures w14:val="standardContextual"/>
        </w:rPr>
        <w:t>981</w:t>
      </w:r>
      <w:r w:rsidR="0009197F" w:rsidRPr="00C064D2">
        <w:rPr>
          <w:rFonts w:ascii="Arial" w:eastAsia="Times New Roman" w:hAnsi="Arial" w:cs="Arial"/>
          <w:bCs/>
          <w14:ligatures w14:val="standardContextual"/>
        </w:rPr>
        <w:t>, 984</w:t>
      </w:r>
      <w:r w:rsidRPr="00C064D2">
        <w:rPr>
          <w:rFonts w:ascii="Arial" w:eastAsia="Times New Roman" w:hAnsi="Arial" w:cs="Arial"/>
          <w14:ligatures w14:val="standardContextual"/>
        </w:rPr>
        <w:t xml:space="preserve"> (2022). The defendant was not entitled to a “temporary and lawful possession” instruction: “</w:t>
      </w:r>
      <w:r w:rsidRPr="00C064D2">
        <w:rPr>
          <w:rFonts w:ascii="Arial" w:eastAsia="Times New Roman" w:hAnsi="Arial" w:cs="Arial"/>
          <w:lang w:val="x-none"/>
          <w14:ligatures w14:val="standardContextual"/>
        </w:rPr>
        <w:t xml:space="preserve">Inasmuch as defendant's actions </w:t>
      </w:r>
      <w:r w:rsidRPr="00C064D2">
        <w:rPr>
          <w:rFonts w:ascii="Arial" w:eastAsia="Times New Roman" w:hAnsi="Arial" w:cs="Arial"/>
          <w14:ligatures w14:val="standardContextual"/>
        </w:rPr>
        <w:t xml:space="preserve">[after taking possession of a firearm] </w:t>
      </w:r>
      <w:r w:rsidRPr="00C064D2">
        <w:rPr>
          <w:rFonts w:ascii="Arial" w:eastAsia="Times New Roman" w:hAnsi="Arial" w:cs="Arial"/>
          <w:lang w:val="x-none"/>
          <w14:ligatures w14:val="standardContextual"/>
        </w:rPr>
        <w:t>were</w:t>
      </w:r>
      <w:r w:rsidRPr="00C064D2">
        <w:rPr>
          <w:rFonts w:ascii="Arial" w:eastAsia="Times New Roman" w:hAnsi="Arial" w:cs="Arial"/>
          <w14:ligatures w14:val="standardContextual"/>
        </w:rPr>
        <w:t xml:space="preserve"> </w:t>
      </w:r>
      <w:r w:rsidRPr="00C064D2">
        <w:rPr>
          <w:rFonts w:ascii="Arial" w:eastAsia="Times New Roman" w:hAnsi="Arial" w:cs="Arial"/>
          <w:lang w:val="x-none"/>
          <w14:ligatures w14:val="standardContextual"/>
        </w:rPr>
        <w:t>reckless and dangerous</w:t>
      </w:r>
      <w:r w:rsidRPr="00C064D2">
        <w:rPr>
          <w:rFonts w:ascii="Arial" w:eastAsia="Times New Roman" w:hAnsi="Arial" w:cs="Arial"/>
          <w14:ligatures w14:val="standardContextual"/>
        </w:rPr>
        <w:t xml:space="preserve">.” </w:t>
      </w:r>
    </w:p>
    <w:p w14:paraId="3B5A3145" w14:textId="77777777" w:rsidR="009E3315" w:rsidRPr="00C064D2" w:rsidRDefault="009E3315" w:rsidP="00254993">
      <w:pPr>
        <w:pStyle w:val="EndnoteText"/>
        <w:spacing w:line="276" w:lineRule="auto"/>
        <w:rPr>
          <w:rFonts w:ascii="Arial" w:hAnsi="Arial" w:cs="Arial"/>
          <w:sz w:val="22"/>
          <w:szCs w:val="22"/>
        </w:rPr>
      </w:pPr>
    </w:p>
  </w:endnote>
  <w:endnote w:id="8">
    <w:p w14:paraId="5EAB57CA" w14:textId="77777777" w:rsidR="005446CE" w:rsidRPr="00C064D2" w:rsidRDefault="00843BF6"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5446CE" w:rsidRPr="00C064D2">
        <w:rPr>
          <w:rFonts w:ascii="Arial" w:hAnsi="Arial" w:cs="Arial"/>
          <w:i/>
          <w:iCs/>
          <w:sz w:val="22"/>
          <w:szCs w:val="22"/>
        </w:rPr>
        <w:t>See</w:t>
      </w:r>
      <w:r w:rsidR="005446CE" w:rsidRPr="00C064D2">
        <w:rPr>
          <w:rFonts w:ascii="Arial" w:hAnsi="Arial" w:cs="Arial"/>
          <w:sz w:val="22"/>
          <w:szCs w:val="22"/>
        </w:rPr>
        <w:t xml:space="preserve"> </w:t>
      </w:r>
      <w:r w:rsidR="005446CE" w:rsidRPr="00C064D2">
        <w:rPr>
          <w:rFonts w:ascii="Arial" w:hAnsi="Arial" w:cs="Arial"/>
          <w:i/>
          <w:iCs/>
          <w:sz w:val="22"/>
          <w:szCs w:val="22"/>
        </w:rPr>
        <w:t>People v Pereira</w:t>
      </w:r>
      <w:r w:rsidR="005446CE" w:rsidRPr="00C064D2">
        <w:rPr>
          <w:rFonts w:ascii="Arial" w:hAnsi="Arial" w:cs="Arial"/>
          <w:sz w:val="22"/>
          <w:szCs w:val="22"/>
        </w:rPr>
        <w:t xml:space="preserve">, 220 AD2d 696, 697 [2d Dept 1995] [“after coming into possession of a loaded pistol by disarming an assailant, the intoxicated defendant wandered through the streets waving it in a threatening manner at passersby until he was apprehended by the police. Such evidence is utterly at odds with a claim of innocent possession”]; </w:t>
      </w:r>
      <w:r w:rsidR="005446CE" w:rsidRPr="00C064D2">
        <w:rPr>
          <w:rFonts w:ascii="Arial" w:hAnsi="Arial" w:cs="Arial"/>
          <w:i/>
          <w:iCs/>
          <w:sz w:val="22"/>
          <w:szCs w:val="22"/>
        </w:rPr>
        <w:t>People v Snyder</w:t>
      </w:r>
      <w:r w:rsidR="005446CE" w:rsidRPr="00C064D2">
        <w:rPr>
          <w:rFonts w:ascii="Arial" w:hAnsi="Arial" w:cs="Arial"/>
          <w:sz w:val="22"/>
          <w:szCs w:val="22"/>
        </w:rPr>
        <w:t xml:space="preserve">, 138 AD2d 115, 119 [3d Dept 1988], </w:t>
      </w:r>
      <w:r w:rsidR="005446CE" w:rsidRPr="00C064D2">
        <w:rPr>
          <w:rFonts w:ascii="Arial" w:hAnsi="Arial" w:cs="Arial"/>
          <w:i/>
          <w:iCs/>
          <w:sz w:val="22"/>
          <w:szCs w:val="22"/>
        </w:rPr>
        <w:t>affd,</w:t>
      </w:r>
      <w:r w:rsidR="005446CE" w:rsidRPr="00C064D2">
        <w:rPr>
          <w:rFonts w:ascii="Arial" w:hAnsi="Arial" w:cs="Arial"/>
          <w:sz w:val="22"/>
          <w:szCs w:val="22"/>
        </w:rPr>
        <w:t xml:space="preserve"> 73 NY2d 900 [1989] [“the unqualified right of possession following the act of disarming another will end when the weapon is secured and the defendant has had an opportunity to turn it over to lawful authorities. Retention beyond that point will be justified only by an affirmative showing of intent to properly dispose of the weapon and circumstances justifying the defendant's failure to do so promptly”].</w:t>
      </w:r>
    </w:p>
    <w:p w14:paraId="7DF02EB0" w14:textId="6E53C755" w:rsidR="00843BF6" w:rsidRPr="00C064D2" w:rsidRDefault="00843BF6" w:rsidP="00254993">
      <w:pPr>
        <w:pStyle w:val="EndnoteText"/>
        <w:spacing w:line="276" w:lineRule="auto"/>
        <w:rPr>
          <w:rFonts w:ascii="Arial" w:hAnsi="Arial" w:cs="Arial"/>
          <w:sz w:val="22"/>
          <w:szCs w:val="22"/>
        </w:rPr>
      </w:pPr>
    </w:p>
  </w:endnote>
  <w:endnote w:id="9">
    <w:p w14:paraId="4CDEE8B3" w14:textId="77777777" w:rsidR="00A32A01" w:rsidRPr="00C064D2" w:rsidRDefault="00A32A01"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Pr="00C064D2">
        <w:rPr>
          <w:rFonts w:ascii="Arial" w:hAnsi="Arial" w:cs="Arial"/>
          <w:i/>
          <w:iCs/>
          <w:sz w:val="22"/>
          <w:szCs w:val="22"/>
        </w:rPr>
        <w:t>People v Whitehead</w:t>
      </w:r>
      <w:r w:rsidRPr="00C064D2">
        <w:rPr>
          <w:rFonts w:ascii="Arial" w:hAnsi="Arial" w:cs="Arial"/>
          <w:sz w:val="22"/>
          <w:szCs w:val="22"/>
        </w:rPr>
        <w:t xml:space="preserve">, 123 AD2d 895, 896 [2d Dept 1986] [“the court's charge included the erroneous proposition that such a defense is established </w:t>
      </w:r>
      <w:r w:rsidRPr="00C064D2">
        <w:rPr>
          <w:rFonts w:ascii="Arial" w:hAnsi="Arial" w:cs="Arial"/>
          <w:sz w:val="22"/>
          <w:szCs w:val="22"/>
          <w:u w:val="single"/>
        </w:rPr>
        <w:t>only</w:t>
      </w:r>
      <w:r w:rsidRPr="00C064D2">
        <w:rPr>
          <w:rFonts w:ascii="Arial" w:hAnsi="Arial" w:cs="Arial"/>
          <w:sz w:val="22"/>
          <w:szCs w:val="22"/>
        </w:rPr>
        <w:t xml:space="preserve"> where the defendant had the intent to turn the subject weapon over to the lawful authorities. . . . the defendant's intent to turn the subject weapon over to the lawful authorities is not a necessary element of the defense of temporary and lawful possession” (emphasis added)].</w:t>
      </w:r>
    </w:p>
    <w:p w14:paraId="1E91E8E1" w14:textId="77777777" w:rsidR="00A32A01" w:rsidRPr="00C064D2" w:rsidRDefault="00A32A01" w:rsidP="00254993">
      <w:pPr>
        <w:pStyle w:val="EndnoteText"/>
        <w:spacing w:line="276" w:lineRule="auto"/>
        <w:rPr>
          <w:rFonts w:ascii="Arial" w:hAnsi="Arial" w:cs="Arial"/>
          <w:sz w:val="22"/>
          <w:szCs w:val="22"/>
        </w:rPr>
      </w:pPr>
    </w:p>
  </w:endnote>
  <w:endnote w:id="10">
    <w:p w14:paraId="1753B537" w14:textId="77777777" w:rsidR="00182DB8" w:rsidRPr="00C064D2" w:rsidRDefault="00173A86"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001473" w:rsidRPr="00C064D2">
        <w:rPr>
          <w:rFonts w:ascii="Arial" w:hAnsi="Arial" w:cs="Arial"/>
          <w:sz w:val="22"/>
          <w:szCs w:val="22"/>
        </w:rPr>
        <w:t xml:space="preserve">See </w:t>
      </w:r>
      <w:r w:rsidR="002B0034" w:rsidRPr="00C064D2">
        <w:rPr>
          <w:rFonts w:ascii="Arial" w:hAnsi="Arial" w:cs="Arial"/>
          <w:i/>
          <w:iCs/>
          <w:sz w:val="22"/>
          <w:szCs w:val="22"/>
        </w:rPr>
        <w:t>People v Gonzalez</w:t>
      </w:r>
      <w:r w:rsidR="002B0034" w:rsidRPr="00C064D2">
        <w:rPr>
          <w:rFonts w:ascii="Arial" w:hAnsi="Arial" w:cs="Arial"/>
          <w:sz w:val="22"/>
          <w:szCs w:val="22"/>
        </w:rPr>
        <w:t>, 262 AD2d 1061, 1061 [4th Dept 1999] [“here the jury could have found that, after defendant disarmed another during the course of a fight, he retained possession of the weapon despite the opportunity to turn it over to lawful authorities”]</w:t>
      </w:r>
      <w:r w:rsidR="00182DB8" w:rsidRPr="00C064D2">
        <w:rPr>
          <w:rFonts w:ascii="Arial" w:hAnsi="Arial" w:cs="Arial"/>
          <w:sz w:val="22"/>
          <w:szCs w:val="22"/>
        </w:rPr>
        <w:t xml:space="preserve">; </w:t>
      </w:r>
      <w:r w:rsidR="00182DB8" w:rsidRPr="00C064D2">
        <w:rPr>
          <w:rFonts w:ascii="Arial" w:hAnsi="Arial" w:cs="Arial"/>
          <w:i/>
          <w:iCs/>
          <w:sz w:val="22"/>
          <w:szCs w:val="22"/>
        </w:rPr>
        <w:t>People v Roccaforte</w:t>
      </w:r>
      <w:r w:rsidR="00182DB8" w:rsidRPr="00C064D2">
        <w:rPr>
          <w:rFonts w:ascii="Arial" w:hAnsi="Arial" w:cs="Arial"/>
          <w:sz w:val="22"/>
          <w:szCs w:val="22"/>
        </w:rPr>
        <w:t xml:space="preserve">, 141 AD2d 775, 776 [2d Dept 1988] [the “presence and visibility of police precincts along the route traveled by the defendant was proper rebuttal evidence in that it circumstantially controverted the proffered defense”]. </w:t>
      </w:r>
    </w:p>
    <w:p w14:paraId="2218C47B" w14:textId="77777777" w:rsidR="00520920" w:rsidRPr="00C064D2" w:rsidRDefault="00520920" w:rsidP="00254993">
      <w:pPr>
        <w:pStyle w:val="EndnoteText"/>
        <w:spacing w:line="276" w:lineRule="auto"/>
        <w:jc w:val="both"/>
        <w:rPr>
          <w:rFonts w:ascii="Arial" w:hAnsi="Arial" w:cs="Arial"/>
          <w:sz w:val="22"/>
          <w:szCs w:val="22"/>
        </w:rPr>
      </w:pPr>
    </w:p>
  </w:endnote>
  <w:endnote w:id="11">
    <w:p w14:paraId="687A9296" w14:textId="66965623" w:rsidR="00F73F16" w:rsidRPr="00C064D2" w:rsidRDefault="00F73F16" w:rsidP="00254993">
      <w:pPr>
        <w:pStyle w:val="EndnoteText"/>
        <w:spacing w:line="276" w:lineRule="auto"/>
        <w:jc w:val="both"/>
        <w:rPr>
          <w:rFonts w:ascii="Arial" w:hAnsi="Arial" w:cs="Arial"/>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DB5BBD" w:rsidRPr="00C064D2">
        <w:rPr>
          <w:rFonts w:ascii="Arial" w:hAnsi="Arial" w:cs="Arial"/>
          <w:sz w:val="22"/>
          <w:szCs w:val="22"/>
        </w:rPr>
        <w:t xml:space="preserve">See </w:t>
      </w:r>
      <w:r w:rsidR="00B07155" w:rsidRPr="00C064D2">
        <w:rPr>
          <w:rFonts w:ascii="Arial" w:hAnsi="Arial" w:cs="Arial"/>
          <w:i/>
          <w:iCs/>
          <w:sz w:val="22"/>
          <w:szCs w:val="22"/>
        </w:rPr>
        <w:t>People v Whitehead</w:t>
      </w:r>
      <w:r w:rsidR="00B07155" w:rsidRPr="00C064D2">
        <w:rPr>
          <w:rFonts w:ascii="Arial" w:hAnsi="Arial" w:cs="Arial"/>
          <w:sz w:val="22"/>
          <w:szCs w:val="22"/>
        </w:rPr>
        <w:t xml:space="preserve">, 123 AD2d 895, 896 [2d Dept 1986] </w:t>
      </w:r>
      <w:r w:rsidR="00347ABB" w:rsidRPr="00C064D2">
        <w:rPr>
          <w:rFonts w:ascii="Arial" w:hAnsi="Arial" w:cs="Arial"/>
          <w:sz w:val="22"/>
          <w:szCs w:val="22"/>
        </w:rPr>
        <w:t>[</w:t>
      </w:r>
      <w:r w:rsidR="00347ABB" w:rsidRPr="00C064D2">
        <w:rPr>
          <w:rFonts w:ascii="Arial" w:hAnsi="Arial" w:cs="Arial"/>
          <w:i/>
          <w:iCs/>
          <w:sz w:val="22"/>
          <w:szCs w:val="22"/>
        </w:rPr>
        <w:t>see</w:t>
      </w:r>
      <w:r w:rsidR="00347ABB" w:rsidRPr="00C064D2">
        <w:rPr>
          <w:rFonts w:ascii="Arial" w:hAnsi="Arial" w:cs="Arial"/>
          <w:sz w:val="22"/>
          <w:szCs w:val="22"/>
        </w:rPr>
        <w:t xml:space="preserve"> note 9]; </w:t>
      </w:r>
      <w:r w:rsidR="00DB5BBD" w:rsidRPr="00C064D2">
        <w:rPr>
          <w:rFonts w:ascii="Arial" w:hAnsi="Arial" w:cs="Arial"/>
          <w:i/>
          <w:sz w:val="22"/>
          <w:szCs w:val="22"/>
          <w:lang w:val="x-none"/>
        </w:rPr>
        <w:t>People v. Banks</w:t>
      </w:r>
      <w:r w:rsidR="00DB5BBD" w:rsidRPr="00C064D2">
        <w:rPr>
          <w:rFonts w:ascii="Arial" w:hAnsi="Arial" w:cs="Arial"/>
          <w:sz w:val="22"/>
          <w:szCs w:val="22"/>
          <w:lang w:val="x-none"/>
        </w:rPr>
        <w:t>, 76 N.Y.2d 799</w:t>
      </w:r>
      <w:r w:rsidR="00DB5BBD" w:rsidRPr="00C064D2">
        <w:rPr>
          <w:rFonts w:ascii="Arial" w:hAnsi="Arial" w:cs="Arial"/>
          <w:sz w:val="22"/>
          <w:szCs w:val="22"/>
        </w:rPr>
        <w:t xml:space="preserve"> [</w:t>
      </w:r>
      <w:r w:rsidR="00DB5BBD" w:rsidRPr="00C064D2">
        <w:rPr>
          <w:rFonts w:ascii="Arial" w:hAnsi="Arial" w:cs="Arial"/>
          <w:sz w:val="22"/>
          <w:szCs w:val="22"/>
          <w:lang w:val="x-none"/>
        </w:rPr>
        <w:t>1990</w:t>
      </w:r>
      <w:r w:rsidR="00DB5BBD" w:rsidRPr="00C064D2">
        <w:rPr>
          <w:rFonts w:ascii="Arial" w:hAnsi="Arial" w:cs="Arial"/>
          <w:sz w:val="22"/>
          <w:szCs w:val="22"/>
        </w:rPr>
        <w:t xml:space="preserve">] [while acquiring the weapon by disarming another in a fight “could be deemed justified,” the defendant was not justified in “conceal[ing] the weapon on his person and determine[ing] to transport it through the streets and on the subway into [another borough] where he proposed to ‘throw it down a sewer’ ”]; </w:t>
      </w:r>
      <w:r w:rsidR="00DB5BBD" w:rsidRPr="00C064D2">
        <w:rPr>
          <w:rFonts w:ascii="Arial" w:hAnsi="Arial" w:cs="Arial"/>
          <w:i/>
          <w:iCs/>
          <w:sz w:val="22"/>
          <w:szCs w:val="22"/>
        </w:rPr>
        <w:t>People v Craig</w:t>
      </w:r>
      <w:r w:rsidR="00DB5BBD" w:rsidRPr="00C064D2">
        <w:rPr>
          <w:rFonts w:ascii="Arial" w:hAnsi="Arial" w:cs="Arial"/>
          <w:sz w:val="22"/>
          <w:szCs w:val="22"/>
        </w:rPr>
        <w:t>, 117 AD3d 1485, 1486 [4th Dept 2014] [“Defendant found a loaded gun in a park and took the gun with him when his father drove him to his mother's house. A police officer found the gun concealed in a bag of clothing after initiating a traffic stop of the vehicle operated by defendant's father. Although defendant claimed that he intended to turn the gun in at a church's gun buy back program, defendant's retention of the gun beyond opportunities to hand it over to the police is “ ‘utterly at odds with any claim of innocent possession’ ”</w:t>
      </w:r>
      <w:r w:rsidR="00A40B9B" w:rsidRPr="00C064D2">
        <w:rPr>
          <w:rFonts w:ascii="Arial" w:hAnsi="Arial" w:cs="Arial"/>
          <w:sz w:val="22"/>
          <w:szCs w:val="22"/>
        </w:rPr>
        <w:t xml:space="preserve">; </w:t>
      </w:r>
      <w:r w:rsidR="00293176" w:rsidRPr="00C064D2">
        <w:rPr>
          <w:rFonts w:ascii="Arial" w:hAnsi="Arial" w:cs="Arial"/>
          <w:i/>
          <w:iCs/>
          <w:sz w:val="22"/>
          <w:szCs w:val="22"/>
        </w:rPr>
        <w:t>People v Rose,</w:t>
      </w:r>
      <w:r w:rsidR="00293176" w:rsidRPr="00C064D2">
        <w:rPr>
          <w:rFonts w:ascii="Arial" w:hAnsi="Arial" w:cs="Arial"/>
          <w:sz w:val="22"/>
          <w:szCs w:val="22"/>
        </w:rPr>
        <w:t xml:space="preserve"> 2021 NY Slip Op 00577 (</w:t>
      </w:r>
      <w:r w:rsidR="00644420" w:rsidRPr="00C064D2">
        <w:rPr>
          <w:rFonts w:ascii="Arial" w:hAnsi="Arial" w:cs="Arial"/>
          <w:sz w:val="22"/>
          <w:szCs w:val="22"/>
        </w:rPr>
        <w:t xml:space="preserve">2d Dept </w:t>
      </w:r>
      <w:r w:rsidR="00293176" w:rsidRPr="00C064D2">
        <w:rPr>
          <w:rFonts w:ascii="Arial" w:hAnsi="Arial" w:cs="Arial"/>
          <w:sz w:val="22"/>
          <w:szCs w:val="22"/>
        </w:rPr>
        <w:t>2021)</w:t>
      </w:r>
      <w:r w:rsidR="00644420" w:rsidRPr="00C064D2">
        <w:rPr>
          <w:rFonts w:ascii="Arial" w:hAnsi="Arial" w:cs="Arial"/>
          <w:sz w:val="22"/>
          <w:szCs w:val="22"/>
        </w:rPr>
        <w:t xml:space="preserve"> (</w:t>
      </w:r>
      <w:r w:rsidR="00FD1B85" w:rsidRPr="00C064D2">
        <w:rPr>
          <w:rFonts w:ascii="Arial" w:hAnsi="Arial" w:cs="Arial"/>
          <w:sz w:val="22"/>
          <w:szCs w:val="22"/>
        </w:rPr>
        <w:t xml:space="preserve">the </w:t>
      </w:r>
      <w:r w:rsidR="0056528E" w:rsidRPr="00C064D2">
        <w:rPr>
          <w:rFonts w:ascii="Arial" w:hAnsi="Arial" w:cs="Arial"/>
          <w:sz w:val="22"/>
          <w:szCs w:val="22"/>
        </w:rPr>
        <w:t xml:space="preserve">Court held that the </w:t>
      </w:r>
      <w:r w:rsidR="005F5C2F" w:rsidRPr="00C064D2">
        <w:rPr>
          <w:rFonts w:ascii="Arial" w:hAnsi="Arial" w:cs="Arial"/>
          <w:sz w:val="22"/>
          <w:szCs w:val="22"/>
        </w:rPr>
        <w:t xml:space="preserve">proof established that the defendant had only temporary and lawful possession when </w:t>
      </w:r>
      <w:r w:rsidR="00E16F74" w:rsidRPr="00C064D2">
        <w:rPr>
          <w:rFonts w:ascii="Arial" w:hAnsi="Arial" w:cs="Arial"/>
          <w:sz w:val="22"/>
          <w:szCs w:val="22"/>
        </w:rPr>
        <w:t>he</w:t>
      </w:r>
      <w:r w:rsidR="00FD1B85" w:rsidRPr="00C064D2">
        <w:rPr>
          <w:rFonts w:ascii="Arial" w:hAnsi="Arial" w:cs="Arial"/>
          <w:sz w:val="22"/>
          <w:szCs w:val="22"/>
        </w:rPr>
        <w:t xml:space="preserve"> recovered a </w:t>
      </w:r>
      <w:r w:rsidR="005C4C50" w:rsidRPr="00C064D2">
        <w:rPr>
          <w:rFonts w:ascii="Arial" w:hAnsi="Arial" w:cs="Arial"/>
          <w:sz w:val="22"/>
          <w:szCs w:val="22"/>
        </w:rPr>
        <w:t>firearm from an assailant</w:t>
      </w:r>
      <w:r w:rsidR="0065113E" w:rsidRPr="00C064D2">
        <w:rPr>
          <w:rFonts w:ascii="Arial" w:hAnsi="Arial" w:cs="Arial"/>
          <w:sz w:val="22"/>
          <w:szCs w:val="22"/>
        </w:rPr>
        <w:t xml:space="preserve">; left the scene with the firearm; unloaded </w:t>
      </w:r>
      <w:r w:rsidR="00E16F74" w:rsidRPr="00C064D2">
        <w:rPr>
          <w:rFonts w:ascii="Arial" w:hAnsi="Arial" w:cs="Arial"/>
          <w:sz w:val="22"/>
          <w:szCs w:val="22"/>
        </w:rPr>
        <w:t>and</w:t>
      </w:r>
      <w:r w:rsidR="007E2C58" w:rsidRPr="00C064D2">
        <w:rPr>
          <w:rFonts w:ascii="Arial" w:hAnsi="Arial" w:cs="Arial"/>
          <w:sz w:val="22"/>
          <w:szCs w:val="22"/>
        </w:rPr>
        <w:t xml:space="preserve"> </w:t>
      </w:r>
      <w:r w:rsidR="00DC6A36" w:rsidRPr="00C064D2">
        <w:rPr>
          <w:rFonts w:ascii="Arial" w:hAnsi="Arial" w:cs="Arial"/>
          <w:sz w:val="22"/>
          <w:szCs w:val="22"/>
        </w:rPr>
        <w:t xml:space="preserve">disposed of it </w:t>
      </w:r>
      <w:r w:rsidR="007E2C58" w:rsidRPr="00C064D2">
        <w:rPr>
          <w:rFonts w:ascii="Arial" w:hAnsi="Arial" w:cs="Arial"/>
          <w:sz w:val="22"/>
          <w:szCs w:val="22"/>
        </w:rPr>
        <w:t xml:space="preserve">in </w:t>
      </w:r>
      <w:r w:rsidR="00DC6A36" w:rsidRPr="00C064D2">
        <w:rPr>
          <w:rFonts w:ascii="Arial" w:hAnsi="Arial" w:cs="Arial"/>
          <w:sz w:val="22"/>
          <w:szCs w:val="22"/>
        </w:rPr>
        <w:t xml:space="preserve">the </w:t>
      </w:r>
      <w:r w:rsidR="007E2C58" w:rsidRPr="00C064D2">
        <w:rPr>
          <w:rFonts w:ascii="Arial" w:hAnsi="Arial" w:cs="Arial"/>
          <w:sz w:val="22"/>
          <w:szCs w:val="22"/>
        </w:rPr>
        <w:t>tras</w:t>
      </w:r>
      <w:r w:rsidR="00967523" w:rsidRPr="00C064D2">
        <w:rPr>
          <w:rFonts w:ascii="Arial" w:hAnsi="Arial" w:cs="Arial"/>
          <w:sz w:val="22"/>
          <w:szCs w:val="22"/>
        </w:rPr>
        <w:t xml:space="preserve">h </w:t>
      </w:r>
      <w:r w:rsidR="00DC6A36" w:rsidRPr="00C064D2">
        <w:rPr>
          <w:rFonts w:ascii="Arial" w:hAnsi="Arial" w:cs="Arial"/>
          <w:sz w:val="22"/>
          <w:szCs w:val="22"/>
        </w:rPr>
        <w:t>(i.e. a</w:t>
      </w:r>
      <w:r w:rsidR="00787E97" w:rsidRPr="00C064D2">
        <w:rPr>
          <w:rFonts w:ascii="Arial" w:hAnsi="Arial" w:cs="Arial"/>
          <w:sz w:val="22"/>
          <w:szCs w:val="22"/>
        </w:rPr>
        <w:t>ccording to the dissent: in</w:t>
      </w:r>
      <w:r w:rsidR="00DC6A36" w:rsidRPr="00C064D2">
        <w:rPr>
          <w:rFonts w:ascii="Arial" w:hAnsi="Arial" w:cs="Arial"/>
          <w:sz w:val="22"/>
          <w:szCs w:val="22"/>
        </w:rPr>
        <w:t xml:space="preserve"> </w:t>
      </w:r>
      <w:r w:rsidR="00787E97" w:rsidRPr="00C064D2">
        <w:rPr>
          <w:rFonts w:ascii="Arial" w:hAnsi="Arial" w:cs="Arial"/>
          <w:sz w:val="22"/>
          <w:szCs w:val="22"/>
        </w:rPr>
        <w:t xml:space="preserve">a </w:t>
      </w:r>
      <w:r w:rsidR="00DC6A36" w:rsidRPr="00C064D2">
        <w:rPr>
          <w:rFonts w:ascii="Arial" w:hAnsi="Arial" w:cs="Arial"/>
          <w:sz w:val="22"/>
          <w:szCs w:val="22"/>
        </w:rPr>
        <w:t>“basement incinerator</w:t>
      </w:r>
      <w:r w:rsidR="00787E97" w:rsidRPr="00C064D2">
        <w:rPr>
          <w:rFonts w:ascii="Arial" w:hAnsi="Arial" w:cs="Arial"/>
          <w:sz w:val="22"/>
          <w:szCs w:val="22"/>
        </w:rPr>
        <w:t xml:space="preserve"> in the hope</w:t>
      </w:r>
      <w:r w:rsidR="00780338" w:rsidRPr="00C064D2">
        <w:rPr>
          <w:rFonts w:ascii="Arial" w:hAnsi="Arial" w:cs="Arial"/>
          <w:sz w:val="22"/>
          <w:szCs w:val="22"/>
        </w:rPr>
        <w:t xml:space="preserve">” it would be taken away) </w:t>
      </w:r>
      <w:r w:rsidR="005B3527" w:rsidRPr="00C064D2">
        <w:rPr>
          <w:rFonts w:ascii="Arial" w:hAnsi="Arial" w:cs="Arial"/>
          <w:sz w:val="22"/>
          <w:szCs w:val="22"/>
        </w:rPr>
        <w:t xml:space="preserve">and </w:t>
      </w:r>
      <w:r w:rsidR="0056528E" w:rsidRPr="00C064D2">
        <w:rPr>
          <w:rFonts w:ascii="Arial" w:hAnsi="Arial" w:cs="Arial"/>
          <w:sz w:val="22"/>
          <w:szCs w:val="22"/>
        </w:rPr>
        <w:t>it was never recovered</w:t>
      </w:r>
      <w:r w:rsidR="004C4549" w:rsidRPr="00C064D2">
        <w:rPr>
          <w:rFonts w:ascii="Arial" w:hAnsi="Arial" w:cs="Arial"/>
          <w:sz w:val="22"/>
          <w:szCs w:val="22"/>
        </w:rPr>
        <w:t>).</w:t>
      </w:r>
    </w:p>
    <w:p w14:paraId="41566F44" w14:textId="77777777" w:rsidR="00F73F16" w:rsidRPr="00C064D2" w:rsidRDefault="00F73F16" w:rsidP="00254993">
      <w:pPr>
        <w:pStyle w:val="EndnoteText"/>
        <w:spacing w:line="276" w:lineRule="auto"/>
        <w:rPr>
          <w:rFonts w:ascii="Arial" w:hAnsi="Arial" w:cs="Arial"/>
          <w:sz w:val="22"/>
          <w:szCs w:val="22"/>
        </w:rPr>
      </w:pPr>
    </w:p>
  </w:endnote>
  <w:endnote w:id="12">
    <w:p w14:paraId="7FC4633D" w14:textId="3F3C1C02" w:rsidR="007F5888" w:rsidRPr="00C064D2" w:rsidRDefault="00E6109C" w:rsidP="00254993">
      <w:pPr>
        <w:pStyle w:val="EndnoteText"/>
        <w:spacing w:line="276" w:lineRule="auto"/>
        <w:jc w:val="both"/>
        <w:rPr>
          <w:rFonts w:ascii="Arial" w:hAnsi="Arial" w:cs="Arial"/>
          <w:i/>
          <w:iCs/>
          <w:sz w:val="22"/>
          <w:szCs w:val="22"/>
        </w:rPr>
      </w:pPr>
      <w:r w:rsidRPr="00C064D2">
        <w:rPr>
          <w:rStyle w:val="EndnoteReference"/>
          <w:rFonts w:ascii="Arial" w:hAnsi="Arial" w:cs="Arial"/>
          <w:sz w:val="22"/>
          <w:szCs w:val="22"/>
        </w:rPr>
        <w:endnoteRef/>
      </w:r>
      <w:r w:rsidRPr="00C064D2">
        <w:rPr>
          <w:rFonts w:ascii="Arial" w:hAnsi="Arial" w:cs="Arial"/>
          <w:sz w:val="22"/>
          <w:szCs w:val="22"/>
        </w:rPr>
        <w:t xml:space="preserve"> </w:t>
      </w:r>
      <w:r w:rsidR="00F03624" w:rsidRPr="00C064D2">
        <w:rPr>
          <w:rFonts w:ascii="Arial" w:hAnsi="Arial" w:cs="Arial"/>
          <w:i/>
          <w:iCs/>
          <w:sz w:val="22"/>
          <w:szCs w:val="22"/>
        </w:rPr>
        <w:t>People v Holes</w:t>
      </w:r>
      <w:r w:rsidR="00F03624" w:rsidRPr="00C064D2">
        <w:rPr>
          <w:rFonts w:ascii="Arial" w:hAnsi="Arial" w:cs="Arial"/>
          <w:sz w:val="22"/>
          <w:szCs w:val="22"/>
        </w:rPr>
        <w:t xml:space="preserve">, 118 AD3d 1466, 1467 </w:t>
      </w:r>
      <w:r w:rsidR="008D23B8" w:rsidRPr="00C064D2">
        <w:rPr>
          <w:rFonts w:ascii="Arial" w:hAnsi="Arial" w:cs="Arial"/>
          <w:sz w:val="22"/>
          <w:szCs w:val="22"/>
        </w:rPr>
        <w:t>[</w:t>
      </w:r>
      <w:r w:rsidR="00F03624" w:rsidRPr="00C064D2">
        <w:rPr>
          <w:rFonts w:ascii="Arial" w:hAnsi="Arial" w:cs="Arial"/>
          <w:sz w:val="22"/>
          <w:szCs w:val="22"/>
        </w:rPr>
        <w:t>4th Dept 2014</w:t>
      </w:r>
      <w:r w:rsidR="008D23B8" w:rsidRPr="00C064D2">
        <w:rPr>
          <w:rFonts w:ascii="Arial" w:hAnsi="Arial" w:cs="Arial"/>
          <w:sz w:val="22"/>
          <w:szCs w:val="22"/>
        </w:rPr>
        <w:t>]</w:t>
      </w:r>
      <w:r w:rsidR="00F03624" w:rsidRPr="00C064D2">
        <w:rPr>
          <w:rFonts w:ascii="Arial" w:hAnsi="Arial" w:cs="Arial"/>
          <w:sz w:val="22"/>
          <w:szCs w:val="22"/>
        </w:rPr>
        <w:t xml:space="preserve"> </w:t>
      </w:r>
      <w:r w:rsidR="008D23B8" w:rsidRPr="00C064D2">
        <w:rPr>
          <w:rFonts w:ascii="Arial" w:hAnsi="Arial" w:cs="Arial"/>
          <w:sz w:val="22"/>
          <w:szCs w:val="22"/>
        </w:rPr>
        <w:t>[</w:t>
      </w:r>
      <w:r w:rsidR="00F03624" w:rsidRPr="00C064D2">
        <w:rPr>
          <w:rFonts w:ascii="Arial" w:hAnsi="Arial" w:cs="Arial"/>
          <w:sz w:val="22"/>
          <w:szCs w:val="22"/>
        </w:rPr>
        <w:t xml:space="preserve">a “defendant is not required to prove that </w:t>
      </w:r>
      <w:r w:rsidR="00D44E5B" w:rsidRPr="00C064D2">
        <w:rPr>
          <w:rFonts w:ascii="Arial" w:hAnsi="Arial" w:cs="Arial"/>
          <w:sz w:val="22"/>
          <w:szCs w:val="22"/>
        </w:rPr>
        <w:t>[his/her]</w:t>
      </w:r>
      <w:r w:rsidR="00F03624" w:rsidRPr="00C064D2">
        <w:rPr>
          <w:rFonts w:ascii="Arial" w:hAnsi="Arial" w:cs="Arial"/>
          <w:sz w:val="22"/>
          <w:szCs w:val="22"/>
        </w:rPr>
        <w:t xml:space="preserve"> possession of the weapon was innocent. Rather, the People are required to prove beyond a reasonable doubt both that the defendant knowingly possessed the weapon and that such possession was not innocent (CJI2d</w:t>
      </w:r>
      <w:r w:rsidR="002937D1" w:rsidRPr="00C064D2">
        <w:rPr>
          <w:rFonts w:ascii="Arial" w:hAnsi="Arial" w:cs="Arial"/>
          <w:sz w:val="22"/>
          <w:szCs w:val="22"/>
        </w:rPr>
        <w:t xml:space="preserve"> </w:t>
      </w:r>
      <w:r w:rsidR="00F03624" w:rsidRPr="00C064D2">
        <w:rPr>
          <w:rFonts w:ascii="Arial" w:hAnsi="Arial" w:cs="Arial"/>
          <w:sz w:val="22"/>
          <w:szCs w:val="22"/>
        </w:rPr>
        <w:t>[NY] Temporary and Lawful Possession)</w:t>
      </w:r>
      <w:r w:rsidR="00087CCA" w:rsidRPr="00C064D2">
        <w:rPr>
          <w:rFonts w:ascii="Arial" w:hAnsi="Arial" w:cs="Arial"/>
          <w:sz w:val="22"/>
          <w:szCs w:val="22"/>
        </w:rPr>
        <w:t>”</w:t>
      </w:r>
      <w:r w:rsidR="008D23B8" w:rsidRPr="00C064D2">
        <w:rPr>
          <w:rFonts w:ascii="Arial" w:hAnsi="Arial" w:cs="Arial"/>
          <w:sz w:val="22"/>
          <w:szCs w:val="22"/>
        </w:rPr>
        <w:t>]</w:t>
      </w:r>
      <w:r w:rsidR="000E232F" w:rsidRPr="00C064D2">
        <w:rPr>
          <w:rFonts w:ascii="Arial" w:hAnsi="Arial" w:cs="Arial"/>
          <w:sz w:val="22"/>
          <w:szCs w:val="22"/>
        </w:rPr>
        <w:t>;</w:t>
      </w:r>
      <w:r w:rsidR="00AC29DF" w:rsidRPr="00C064D2">
        <w:rPr>
          <w:rFonts w:ascii="Arial" w:hAnsi="Arial" w:cs="Arial"/>
          <w:i/>
          <w:iCs/>
          <w:sz w:val="22"/>
          <w:szCs w:val="22"/>
        </w:rPr>
        <w:t xml:space="preserve"> </w:t>
      </w:r>
      <w:r w:rsidR="005A2DD7" w:rsidRPr="00C064D2">
        <w:rPr>
          <w:rFonts w:ascii="Arial" w:hAnsi="Arial" w:cs="Arial"/>
          <w:i/>
          <w:iCs/>
          <w:sz w:val="22"/>
          <w:szCs w:val="22"/>
        </w:rPr>
        <w:t>People v Sterling,</w:t>
      </w:r>
      <w:r w:rsidR="005A2DD7" w:rsidRPr="00C064D2">
        <w:rPr>
          <w:rFonts w:ascii="Arial" w:hAnsi="Arial" w:cs="Arial"/>
          <w:sz w:val="22"/>
          <w:szCs w:val="22"/>
        </w:rPr>
        <w:t xml:space="preserve"> 151 AD2d 522, 522 [2d Dept 1989] </w:t>
      </w:r>
      <w:r w:rsidR="00000D0D" w:rsidRPr="00C064D2">
        <w:rPr>
          <w:rFonts w:ascii="Arial" w:hAnsi="Arial" w:cs="Arial"/>
          <w:sz w:val="22"/>
          <w:szCs w:val="22"/>
        </w:rPr>
        <w:t>“</w:t>
      </w:r>
      <w:r w:rsidR="005A2DD7" w:rsidRPr="00C064D2">
        <w:rPr>
          <w:rFonts w:ascii="Arial" w:hAnsi="Arial" w:cs="Arial"/>
          <w:sz w:val="22"/>
          <w:szCs w:val="22"/>
        </w:rPr>
        <w:t>[</w:t>
      </w:r>
      <w:r w:rsidR="007F5888" w:rsidRPr="00C064D2">
        <w:rPr>
          <w:rFonts w:ascii="Arial" w:hAnsi="Arial" w:cs="Arial"/>
          <w:sz w:val="22"/>
          <w:szCs w:val="22"/>
        </w:rPr>
        <w:t>it would have been preferable for the trial court to have specifically stated that the People were required to disprove this defense beyond a reasonable doubt</w:t>
      </w:r>
      <w:r w:rsidR="00000D0D" w:rsidRPr="00C064D2">
        <w:rPr>
          <w:rFonts w:ascii="Arial" w:hAnsi="Arial" w:cs="Arial"/>
          <w:sz w:val="22"/>
          <w:szCs w:val="22"/>
        </w:rPr>
        <w:t>”</w:t>
      </w:r>
      <w:r w:rsidR="005A2DD7" w:rsidRPr="00C064D2">
        <w:rPr>
          <w:rFonts w:ascii="Arial" w:hAnsi="Arial" w:cs="Arial"/>
          <w:sz w:val="22"/>
          <w:szCs w:val="22"/>
        </w:rPr>
        <w:t>].</w:t>
      </w:r>
    </w:p>
    <w:p w14:paraId="57E4A642" w14:textId="0F5FEB90" w:rsidR="00E6109C" w:rsidRPr="00C064D2" w:rsidRDefault="00D80BA5" w:rsidP="00254993">
      <w:pPr>
        <w:pStyle w:val="EndnoteText"/>
        <w:spacing w:line="276" w:lineRule="auto"/>
        <w:jc w:val="both"/>
        <w:rPr>
          <w:rFonts w:ascii="Arial" w:hAnsi="Arial" w:cs="Arial"/>
          <w:i/>
          <w:iCs/>
          <w:sz w:val="22"/>
          <w:szCs w:val="22"/>
        </w:rPr>
      </w:pPr>
      <w:r w:rsidRPr="00C064D2">
        <w:rPr>
          <w:rFonts w:ascii="Arial" w:hAnsi="Arial" w:cs="Arial"/>
          <w:i/>
          <w:iCs/>
          <w:sz w:val="22"/>
          <w:szCs w:val="22"/>
        </w:rPr>
        <w:t xml:space="preserve"> </w:t>
      </w:r>
    </w:p>
    <w:p w14:paraId="6B4A67F1" w14:textId="77777777" w:rsidR="00087CCA" w:rsidRPr="00C064D2" w:rsidRDefault="00087CCA" w:rsidP="00254993">
      <w:pPr>
        <w:pStyle w:val="EndnoteText"/>
        <w:spacing w:line="276" w:lineRule="auto"/>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8753" w14:textId="77777777" w:rsidR="00C53994" w:rsidRDefault="00C53994" w:rsidP="00A97E1E">
      <w:pPr>
        <w:spacing w:before="0"/>
      </w:pPr>
      <w:r>
        <w:separator/>
      </w:r>
    </w:p>
  </w:footnote>
  <w:footnote w:type="continuationSeparator" w:id="0">
    <w:p w14:paraId="54B0EBA2" w14:textId="77777777" w:rsidR="00C53994" w:rsidRDefault="00C53994" w:rsidP="00A97E1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F53"/>
    <w:multiLevelType w:val="multilevel"/>
    <w:tmpl w:val="E0AE0B18"/>
    <w:lvl w:ilvl="0">
      <w:start w:val="1"/>
      <w:numFmt w:val="decimal"/>
      <w:lvlText w:val="%1."/>
      <w:lvlJc w:val="left"/>
      <w:pPr>
        <w:tabs>
          <w:tab w:val="left" w:pos="216"/>
        </w:tabs>
      </w:pPr>
      <w:rPr>
        <w:rFonts w:ascii="Arial" w:eastAsia="Arial" w:hAnsi="Arial"/>
        <w:i/>
        <w:strike/>
        <w:color w:val="C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2B6889"/>
    <w:multiLevelType w:val="multilevel"/>
    <w:tmpl w:val="19E26FD0"/>
    <w:lvl w:ilvl="0">
      <w:start w:val="1"/>
      <w:numFmt w:val="decimal"/>
      <w:lvlText w:val="%1."/>
      <w:lvlJc w:val="left"/>
      <w:pPr>
        <w:tabs>
          <w:tab w:val="left" w:pos="216"/>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367824">
    <w:abstractNumId w:val="1"/>
  </w:num>
  <w:num w:numId="2" w16cid:durableId="183987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1E"/>
    <w:rsid w:val="00000CF4"/>
    <w:rsid w:val="00000D0D"/>
    <w:rsid w:val="0000137C"/>
    <w:rsid w:val="00001473"/>
    <w:rsid w:val="00004224"/>
    <w:rsid w:val="00005151"/>
    <w:rsid w:val="00010C48"/>
    <w:rsid w:val="000117F0"/>
    <w:rsid w:val="000135FB"/>
    <w:rsid w:val="000167E4"/>
    <w:rsid w:val="000271B0"/>
    <w:rsid w:val="00030242"/>
    <w:rsid w:val="00032095"/>
    <w:rsid w:val="00033238"/>
    <w:rsid w:val="00034DB8"/>
    <w:rsid w:val="00034DF9"/>
    <w:rsid w:val="000443C1"/>
    <w:rsid w:val="00050117"/>
    <w:rsid w:val="00054621"/>
    <w:rsid w:val="00060F54"/>
    <w:rsid w:val="00062232"/>
    <w:rsid w:val="00062DE5"/>
    <w:rsid w:val="00064512"/>
    <w:rsid w:val="00064ED7"/>
    <w:rsid w:val="0006610D"/>
    <w:rsid w:val="00066EEA"/>
    <w:rsid w:val="00067648"/>
    <w:rsid w:val="00070057"/>
    <w:rsid w:val="00073BD5"/>
    <w:rsid w:val="00074340"/>
    <w:rsid w:val="000764E8"/>
    <w:rsid w:val="00080033"/>
    <w:rsid w:val="0008486B"/>
    <w:rsid w:val="00085254"/>
    <w:rsid w:val="00087CCA"/>
    <w:rsid w:val="0009197F"/>
    <w:rsid w:val="00094FF2"/>
    <w:rsid w:val="000A016E"/>
    <w:rsid w:val="000A4486"/>
    <w:rsid w:val="000A53ED"/>
    <w:rsid w:val="000B1798"/>
    <w:rsid w:val="000B3B66"/>
    <w:rsid w:val="000B5AEF"/>
    <w:rsid w:val="000B63C4"/>
    <w:rsid w:val="000C045B"/>
    <w:rsid w:val="000C1542"/>
    <w:rsid w:val="000C1F25"/>
    <w:rsid w:val="000C4991"/>
    <w:rsid w:val="000D1E23"/>
    <w:rsid w:val="000D50A5"/>
    <w:rsid w:val="000D7788"/>
    <w:rsid w:val="000E232F"/>
    <w:rsid w:val="000E55DC"/>
    <w:rsid w:val="00102ADD"/>
    <w:rsid w:val="00103CD8"/>
    <w:rsid w:val="001058C3"/>
    <w:rsid w:val="00107371"/>
    <w:rsid w:val="001110CD"/>
    <w:rsid w:val="0011304C"/>
    <w:rsid w:val="00123E8F"/>
    <w:rsid w:val="001240E6"/>
    <w:rsid w:val="00125C79"/>
    <w:rsid w:val="00125FE2"/>
    <w:rsid w:val="00127E2D"/>
    <w:rsid w:val="00132977"/>
    <w:rsid w:val="00132C3C"/>
    <w:rsid w:val="001352E7"/>
    <w:rsid w:val="001417EF"/>
    <w:rsid w:val="00142870"/>
    <w:rsid w:val="0014513F"/>
    <w:rsid w:val="0014597F"/>
    <w:rsid w:val="00147486"/>
    <w:rsid w:val="00153E36"/>
    <w:rsid w:val="0015765C"/>
    <w:rsid w:val="0016030C"/>
    <w:rsid w:val="00160C9A"/>
    <w:rsid w:val="00162515"/>
    <w:rsid w:val="00162A41"/>
    <w:rsid w:val="00163D96"/>
    <w:rsid w:val="001675B6"/>
    <w:rsid w:val="00167A7F"/>
    <w:rsid w:val="00172AA2"/>
    <w:rsid w:val="00173A86"/>
    <w:rsid w:val="00180C1A"/>
    <w:rsid w:val="00182DB8"/>
    <w:rsid w:val="00183E22"/>
    <w:rsid w:val="00184A99"/>
    <w:rsid w:val="00185676"/>
    <w:rsid w:val="00192156"/>
    <w:rsid w:val="00195A23"/>
    <w:rsid w:val="001969F5"/>
    <w:rsid w:val="00197563"/>
    <w:rsid w:val="001A0727"/>
    <w:rsid w:val="001A2262"/>
    <w:rsid w:val="001A28BE"/>
    <w:rsid w:val="001A3F4B"/>
    <w:rsid w:val="001B322B"/>
    <w:rsid w:val="001B39EA"/>
    <w:rsid w:val="001B3E76"/>
    <w:rsid w:val="001B6D75"/>
    <w:rsid w:val="001C0C81"/>
    <w:rsid w:val="001C251F"/>
    <w:rsid w:val="001C4A3A"/>
    <w:rsid w:val="001C54D8"/>
    <w:rsid w:val="001C5951"/>
    <w:rsid w:val="001C79F8"/>
    <w:rsid w:val="001D07B0"/>
    <w:rsid w:val="001D1538"/>
    <w:rsid w:val="001D6A5C"/>
    <w:rsid w:val="001D720F"/>
    <w:rsid w:val="001D7BB7"/>
    <w:rsid w:val="001E06B9"/>
    <w:rsid w:val="001E1B75"/>
    <w:rsid w:val="001E1F88"/>
    <w:rsid w:val="001E2288"/>
    <w:rsid w:val="001E5746"/>
    <w:rsid w:val="001E790E"/>
    <w:rsid w:val="001F1C1B"/>
    <w:rsid w:val="001F280A"/>
    <w:rsid w:val="001F2924"/>
    <w:rsid w:val="001F7FAD"/>
    <w:rsid w:val="00200110"/>
    <w:rsid w:val="00200465"/>
    <w:rsid w:val="002029E2"/>
    <w:rsid w:val="00203D2A"/>
    <w:rsid w:val="002049FE"/>
    <w:rsid w:val="0020699B"/>
    <w:rsid w:val="002110B4"/>
    <w:rsid w:val="00214B53"/>
    <w:rsid w:val="00214ED1"/>
    <w:rsid w:val="002218E5"/>
    <w:rsid w:val="00221F2E"/>
    <w:rsid w:val="00222986"/>
    <w:rsid w:val="00233A38"/>
    <w:rsid w:val="00241350"/>
    <w:rsid w:val="002450D1"/>
    <w:rsid w:val="002519BF"/>
    <w:rsid w:val="00251F83"/>
    <w:rsid w:val="00254993"/>
    <w:rsid w:val="002553EE"/>
    <w:rsid w:val="00262C8E"/>
    <w:rsid w:val="00265B58"/>
    <w:rsid w:val="002672DF"/>
    <w:rsid w:val="00271FA2"/>
    <w:rsid w:val="00274161"/>
    <w:rsid w:val="00277F8C"/>
    <w:rsid w:val="00283588"/>
    <w:rsid w:val="00284F8F"/>
    <w:rsid w:val="002858C9"/>
    <w:rsid w:val="00286DC4"/>
    <w:rsid w:val="0029147F"/>
    <w:rsid w:val="00291920"/>
    <w:rsid w:val="00293176"/>
    <w:rsid w:val="002937D1"/>
    <w:rsid w:val="00293F59"/>
    <w:rsid w:val="00295ADB"/>
    <w:rsid w:val="00296BB8"/>
    <w:rsid w:val="002A1E3C"/>
    <w:rsid w:val="002A55C9"/>
    <w:rsid w:val="002A6A86"/>
    <w:rsid w:val="002A7173"/>
    <w:rsid w:val="002B0034"/>
    <w:rsid w:val="002B1AC5"/>
    <w:rsid w:val="002B1F15"/>
    <w:rsid w:val="002B7AC0"/>
    <w:rsid w:val="002D20D8"/>
    <w:rsid w:val="002D5243"/>
    <w:rsid w:val="002D7435"/>
    <w:rsid w:val="002D76D8"/>
    <w:rsid w:val="002D7BBC"/>
    <w:rsid w:val="002E1D6A"/>
    <w:rsid w:val="002E3AAF"/>
    <w:rsid w:val="002E5325"/>
    <w:rsid w:val="002F14F8"/>
    <w:rsid w:val="002F342D"/>
    <w:rsid w:val="002F36A0"/>
    <w:rsid w:val="002F40D5"/>
    <w:rsid w:val="00302FD2"/>
    <w:rsid w:val="00303310"/>
    <w:rsid w:val="003035C8"/>
    <w:rsid w:val="00303ED6"/>
    <w:rsid w:val="00304C86"/>
    <w:rsid w:val="00305CA5"/>
    <w:rsid w:val="00306B3A"/>
    <w:rsid w:val="00306BFC"/>
    <w:rsid w:val="003121FC"/>
    <w:rsid w:val="0031248F"/>
    <w:rsid w:val="00314E7E"/>
    <w:rsid w:val="00317FC2"/>
    <w:rsid w:val="00322523"/>
    <w:rsid w:val="00322525"/>
    <w:rsid w:val="00325AAC"/>
    <w:rsid w:val="003278A4"/>
    <w:rsid w:val="0033066F"/>
    <w:rsid w:val="003308EB"/>
    <w:rsid w:val="0033707A"/>
    <w:rsid w:val="003405C9"/>
    <w:rsid w:val="003412B4"/>
    <w:rsid w:val="00341F48"/>
    <w:rsid w:val="003431CC"/>
    <w:rsid w:val="00347ABB"/>
    <w:rsid w:val="003521D1"/>
    <w:rsid w:val="0035282A"/>
    <w:rsid w:val="00354700"/>
    <w:rsid w:val="00354FDB"/>
    <w:rsid w:val="003557AE"/>
    <w:rsid w:val="00356CF8"/>
    <w:rsid w:val="00362F28"/>
    <w:rsid w:val="003660CF"/>
    <w:rsid w:val="003663E4"/>
    <w:rsid w:val="003708BF"/>
    <w:rsid w:val="00371F2E"/>
    <w:rsid w:val="0037294C"/>
    <w:rsid w:val="0037366D"/>
    <w:rsid w:val="00375A4A"/>
    <w:rsid w:val="00376006"/>
    <w:rsid w:val="00376075"/>
    <w:rsid w:val="00376401"/>
    <w:rsid w:val="00377038"/>
    <w:rsid w:val="003808DB"/>
    <w:rsid w:val="003827B8"/>
    <w:rsid w:val="00385AF2"/>
    <w:rsid w:val="003862B5"/>
    <w:rsid w:val="00387834"/>
    <w:rsid w:val="00395483"/>
    <w:rsid w:val="00396016"/>
    <w:rsid w:val="003A042D"/>
    <w:rsid w:val="003A1850"/>
    <w:rsid w:val="003A353C"/>
    <w:rsid w:val="003A4606"/>
    <w:rsid w:val="003A6668"/>
    <w:rsid w:val="003B2999"/>
    <w:rsid w:val="003B2CA2"/>
    <w:rsid w:val="003B757A"/>
    <w:rsid w:val="003B79C5"/>
    <w:rsid w:val="003C254E"/>
    <w:rsid w:val="003C61AB"/>
    <w:rsid w:val="003D29AF"/>
    <w:rsid w:val="003D3473"/>
    <w:rsid w:val="003D7A06"/>
    <w:rsid w:val="003E06E5"/>
    <w:rsid w:val="003E22C4"/>
    <w:rsid w:val="003E32F2"/>
    <w:rsid w:val="003E463E"/>
    <w:rsid w:val="003E663A"/>
    <w:rsid w:val="003E723D"/>
    <w:rsid w:val="003E73EE"/>
    <w:rsid w:val="003F30ED"/>
    <w:rsid w:val="00401E05"/>
    <w:rsid w:val="00403876"/>
    <w:rsid w:val="00403B2E"/>
    <w:rsid w:val="00404D02"/>
    <w:rsid w:val="00406302"/>
    <w:rsid w:val="00416434"/>
    <w:rsid w:val="00417296"/>
    <w:rsid w:val="00424017"/>
    <w:rsid w:val="004268F5"/>
    <w:rsid w:val="00427105"/>
    <w:rsid w:val="00427E49"/>
    <w:rsid w:val="0043454A"/>
    <w:rsid w:val="004375E3"/>
    <w:rsid w:val="00441725"/>
    <w:rsid w:val="004423CD"/>
    <w:rsid w:val="00444037"/>
    <w:rsid w:val="004446E1"/>
    <w:rsid w:val="00446689"/>
    <w:rsid w:val="00446E72"/>
    <w:rsid w:val="0045369B"/>
    <w:rsid w:val="004567BE"/>
    <w:rsid w:val="004568A2"/>
    <w:rsid w:val="004646FB"/>
    <w:rsid w:val="00467002"/>
    <w:rsid w:val="00467888"/>
    <w:rsid w:val="00470017"/>
    <w:rsid w:val="00472DE7"/>
    <w:rsid w:val="00473C38"/>
    <w:rsid w:val="00473E62"/>
    <w:rsid w:val="004746C7"/>
    <w:rsid w:val="00476070"/>
    <w:rsid w:val="00476D02"/>
    <w:rsid w:val="004811E0"/>
    <w:rsid w:val="0048216F"/>
    <w:rsid w:val="00482CE1"/>
    <w:rsid w:val="00482F51"/>
    <w:rsid w:val="0048456C"/>
    <w:rsid w:val="00491B5A"/>
    <w:rsid w:val="004923D5"/>
    <w:rsid w:val="00492637"/>
    <w:rsid w:val="004A00EB"/>
    <w:rsid w:val="004A0365"/>
    <w:rsid w:val="004A25ED"/>
    <w:rsid w:val="004A45F0"/>
    <w:rsid w:val="004A5F02"/>
    <w:rsid w:val="004A671E"/>
    <w:rsid w:val="004B3282"/>
    <w:rsid w:val="004B462A"/>
    <w:rsid w:val="004B586C"/>
    <w:rsid w:val="004B7980"/>
    <w:rsid w:val="004B7B0B"/>
    <w:rsid w:val="004C0349"/>
    <w:rsid w:val="004C23CA"/>
    <w:rsid w:val="004C2A7D"/>
    <w:rsid w:val="004C4549"/>
    <w:rsid w:val="004C535B"/>
    <w:rsid w:val="004C699F"/>
    <w:rsid w:val="004C6BD2"/>
    <w:rsid w:val="004D0B6A"/>
    <w:rsid w:val="004D491C"/>
    <w:rsid w:val="004D5251"/>
    <w:rsid w:val="004D7BA0"/>
    <w:rsid w:val="004E13E3"/>
    <w:rsid w:val="004E21D9"/>
    <w:rsid w:val="004E26CD"/>
    <w:rsid w:val="004E27DE"/>
    <w:rsid w:val="004E6527"/>
    <w:rsid w:val="004F0701"/>
    <w:rsid w:val="004F482E"/>
    <w:rsid w:val="00500951"/>
    <w:rsid w:val="005014F6"/>
    <w:rsid w:val="00502C9E"/>
    <w:rsid w:val="00502EAA"/>
    <w:rsid w:val="00507B99"/>
    <w:rsid w:val="00510114"/>
    <w:rsid w:val="00512202"/>
    <w:rsid w:val="005147BC"/>
    <w:rsid w:val="00514B8A"/>
    <w:rsid w:val="00517CA3"/>
    <w:rsid w:val="0052026A"/>
    <w:rsid w:val="00520575"/>
    <w:rsid w:val="00520920"/>
    <w:rsid w:val="005328BB"/>
    <w:rsid w:val="00532C38"/>
    <w:rsid w:val="005333A6"/>
    <w:rsid w:val="005358D0"/>
    <w:rsid w:val="00535DE8"/>
    <w:rsid w:val="00542342"/>
    <w:rsid w:val="00544432"/>
    <w:rsid w:val="005446CE"/>
    <w:rsid w:val="005461CA"/>
    <w:rsid w:val="0054696A"/>
    <w:rsid w:val="00550619"/>
    <w:rsid w:val="00553A08"/>
    <w:rsid w:val="0055604B"/>
    <w:rsid w:val="00560882"/>
    <w:rsid w:val="00562C2F"/>
    <w:rsid w:val="0056528E"/>
    <w:rsid w:val="00570E32"/>
    <w:rsid w:val="00571314"/>
    <w:rsid w:val="00571502"/>
    <w:rsid w:val="00572394"/>
    <w:rsid w:val="0057302E"/>
    <w:rsid w:val="00573C91"/>
    <w:rsid w:val="00584F96"/>
    <w:rsid w:val="00585321"/>
    <w:rsid w:val="00586414"/>
    <w:rsid w:val="00586746"/>
    <w:rsid w:val="00590768"/>
    <w:rsid w:val="0059089A"/>
    <w:rsid w:val="00590935"/>
    <w:rsid w:val="00592372"/>
    <w:rsid w:val="005951CE"/>
    <w:rsid w:val="00596E8B"/>
    <w:rsid w:val="005A2DD7"/>
    <w:rsid w:val="005A65DC"/>
    <w:rsid w:val="005A6DAE"/>
    <w:rsid w:val="005B019E"/>
    <w:rsid w:val="005B17CA"/>
    <w:rsid w:val="005B3527"/>
    <w:rsid w:val="005B6204"/>
    <w:rsid w:val="005C0F49"/>
    <w:rsid w:val="005C25D8"/>
    <w:rsid w:val="005C2FA2"/>
    <w:rsid w:val="005C4AA0"/>
    <w:rsid w:val="005C4C50"/>
    <w:rsid w:val="005C6F5A"/>
    <w:rsid w:val="005C7618"/>
    <w:rsid w:val="005D313E"/>
    <w:rsid w:val="005E0859"/>
    <w:rsid w:val="005E33AD"/>
    <w:rsid w:val="005F4697"/>
    <w:rsid w:val="005F5C2F"/>
    <w:rsid w:val="006041A2"/>
    <w:rsid w:val="00607AC4"/>
    <w:rsid w:val="006125F6"/>
    <w:rsid w:val="006128DC"/>
    <w:rsid w:val="006130EE"/>
    <w:rsid w:val="0061441B"/>
    <w:rsid w:val="00615541"/>
    <w:rsid w:val="006168A7"/>
    <w:rsid w:val="00621DF5"/>
    <w:rsid w:val="006221AA"/>
    <w:rsid w:val="00623433"/>
    <w:rsid w:val="00626CC3"/>
    <w:rsid w:val="0063341D"/>
    <w:rsid w:val="00633A7B"/>
    <w:rsid w:val="00634AC1"/>
    <w:rsid w:val="006351F2"/>
    <w:rsid w:val="00644420"/>
    <w:rsid w:val="00645037"/>
    <w:rsid w:val="00645503"/>
    <w:rsid w:val="00650020"/>
    <w:rsid w:val="00650B8E"/>
    <w:rsid w:val="0065113E"/>
    <w:rsid w:val="006528ED"/>
    <w:rsid w:val="00653029"/>
    <w:rsid w:val="006531D7"/>
    <w:rsid w:val="006545BC"/>
    <w:rsid w:val="00655ADB"/>
    <w:rsid w:val="006679F8"/>
    <w:rsid w:val="00671731"/>
    <w:rsid w:val="006717E9"/>
    <w:rsid w:val="00677063"/>
    <w:rsid w:val="00684D69"/>
    <w:rsid w:val="00691DDF"/>
    <w:rsid w:val="00692940"/>
    <w:rsid w:val="00693CD6"/>
    <w:rsid w:val="00695A2E"/>
    <w:rsid w:val="00697667"/>
    <w:rsid w:val="006A000B"/>
    <w:rsid w:val="006A1979"/>
    <w:rsid w:val="006A3360"/>
    <w:rsid w:val="006B0221"/>
    <w:rsid w:val="006B407F"/>
    <w:rsid w:val="006C3AB4"/>
    <w:rsid w:val="006C575F"/>
    <w:rsid w:val="006C773C"/>
    <w:rsid w:val="006D04BC"/>
    <w:rsid w:val="006D1512"/>
    <w:rsid w:val="006D5D3B"/>
    <w:rsid w:val="006D5F44"/>
    <w:rsid w:val="006D7C59"/>
    <w:rsid w:val="006F0B06"/>
    <w:rsid w:val="006F1B1B"/>
    <w:rsid w:val="006F43F6"/>
    <w:rsid w:val="006F61FF"/>
    <w:rsid w:val="00701393"/>
    <w:rsid w:val="00701EBA"/>
    <w:rsid w:val="00707236"/>
    <w:rsid w:val="007103ED"/>
    <w:rsid w:val="00713A69"/>
    <w:rsid w:val="00714E9D"/>
    <w:rsid w:val="00720115"/>
    <w:rsid w:val="007243D5"/>
    <w:rsid w:val="0072441F"/>
    <w:rsid w:val="00725320"/>
    <w:rsid w:val="00726FB2"/>
    <w:rsid w:val="00730D2F"/>
    <w:rsid w:val="007311DD"/>
    <w:rsid w:val="0073331D"/>
    <w:rsid w:val="00734465"/>
    <w:rsid w:val="00734791"/>
    <w:rsid w:val="00735991"/>
    <w:rsid w:val="00735AE6"/>
    <w:rsid w:val="00746039"/>
    <w:rsid w:val="00747052"/>
    <w:rsid w:val="007504C0"/>
    <w:rsid w:val="00750C89"/>
    <w:rsid w:val="00751D57"/>
    <w:rsid w:val="00751FF5"/>
    <w:rsid w:val="007549AB"/>
    <w:rsid w:val="00755639"/>
    <w:rsid w:val="0075700C"/>
    <w:rsid w:val="00760B68"/>
    <w:rsid w:val="00773D9D"/>
    <w:rsid w:val="00776F37"/>
    <w:rsid w:val="00777DB5"/>
    <w:rsid w:val="0078017C"/>
    <w:rsid w:val="00780338"/>
    <w:rsid w:val="007861EC"/>
    <w:rsid w:val="00787125"/>
    <w:rsid w:val="00787E1F"/>
    <w:rsid w:val="00787E97"/>
    <w:rsid w:val="00790FB4"/>
    <w:rsid w:val="0079787F"/>
    <w:rsid w:val="007A1C10"/>
    <w:rsid w:val="007A2463"/>
    <w:rsid w:val="007A549D"/>
    <w:rsid w:val="007A61DA"/>
    <w:rsid w:val="007B20DA"/>
    <w:rsid w:val="007B3747"/>
    <w:rsid w:val="007C07A5"/>
    <w:rsid w:val="007C0AF3"/>
    <w:rsid w:val="007C33D5"/>
    <w:rsid w:val="007C351E"/>
    <w:rsid w:val="007C6D12"/>
    <w:rsid w:val="007D3414"/>
    <w:rsid w:val="007D4180"/>
    <w:rsid w:val="007D5401"/>
    <w:rsid w:val="007E2C58"/>
    <w:rsid w:val="007E6384"/>
    <w:rsid w:val="007F006F"/>
    <w:rsid w:val="007F5323"/>
    <w:rsid w:val="007F562B"/>
    <w:rsid w:val="007F5888"/>
    <w:rsid w:val="007F596E"/>
    <w:rsid w:val="007F6693"/>
    <w:rsid w:val="007F7900"/>
    <w:rsid w:val="0080078F"/>
    <w:rsid w:val="00801214"/>
    <w:rsid w:val="00801C39"/>
    <w:rsid w:val="00802B77"/>
    <w:rsid w:val="008050A4"/>
    <w:rsid w:val="008050E6"/>
    <w:rsid w:val="008053DE"/>
    <w:rsid w:val="008055D4"/>
    <w:rsid w:val="00805A96"/>
    <w:rsid w:val="008076DD"/>
    <w:rsid w:val="0081361A"/>
    <w:rsid w:val="00814068"/>
    <w:rsid w:val="00814CA2"/>
    <w:rsid w:val="008167B2"/>
    <w:rsid w:val="00820436"/>
    <w:rsid w:val="008227F3"/>
    <w:rsid w:val="00823F06"/>
    <w:rsid w:val="00827079"/>
    <w:rsid w:val="00831086"/>
    <w:rsid w:val="008319B9"/>
    <w:rsid w:val="00833DB5"/>
    <w:rsid w:val="00837108"/>
    <w:rsid w:val="00837AC3"/>
    <w:rsid w:val="00841A0B"/>
    <w:rsid w:val="00842936"/>
    <w:rsid w:val="00843AD8"/>
    <w:rsid w:val="00843BF6"/>
    <w:rsid w:val="00852FC1"/>
    <w:rsid w:val="00853CB6"/>
    <w:rsid w:val="00855CBC"/>
    <w:rsid w:val="008605E2"/>
    <w:rsid w:val="0086378B"/>
    <w:rsid w:val="00863E34"/>
    <w:rsid w:val="00864869"/>
    <w:rsid w:val="00866CA1"/>
    <w:rsid w:val="00867F4E"/>
    <w:rsid w:val="00877EDA"/>
    <w:rsid w:val="008836DB"/>
    <w:rsid w:val="008848C7"/>
    <w:rsid w:val="008860AD"/>
    <w:rsid w:val="00886647"/>
    <w:rsid w:val="00887085"/>
    <w:rsid w:val="00887DE4"/>
    <w:rsid w:val="0089176C"/>
    <w:rsid w:val="00895255"/>
    <w:rsid w:val="00895468"/>
    <w:rsid w:val="00895C74"/>
    <w:rsid w:val="008961C7"/>
    <w:rsid w:val="00897A30"/>
    <w:rsid w:val="00897BB6"/>
    <w:rsid w:val="008A2A74"/>
    <w:rsid w:val="008A530A"/>
    <w:rsid w:val="008A5EC5"/>
    <w:rsid w:val="008A6D2D"/>
    <w:rsid w:val="008A7250"/>
    <w:rsid w:val="008A7A39"/>
    <w:rsid w:val="008B6EB6"/>
    <w:rsid w:val="008C3453"/>
    <w:rsid w:val="008D0C87"/>
    <w:rsid w:val="008D1D82"/>
    <w:rsid w:val="008D23B8"/>
    <w:rsid w:val="008D672F"/>
    <w:rsid w:val="008D7B20"/>
    <w:rsid w:val="008E0574"/>
    <w:rsid w:val="008E322E"/>
    <w:rsid w:val="008E418C"/>
    <w:rsid w:val="008E4927"/>
    <w:rsid w:val="008F11CF"/>
    <w:rsid w:val="008F22DD"/>
    <w:rsid w:val="008F3260"/>
    <w:rsid w:val="008F56BC"/>
    <w:rsid w:val="008F5F7E"/>
    <w:rsid w:val="00900433"/>
    <w:rsid w:val="00902C0A"/>
    <w:rsid w:val="009043E9"/>
    <w:rsid w:val="0090528E"/>
    <w:rsid w:val="00905A7C"/>
    <w:rsid w:val="0091448D"/>
    <w:rsid w:val="0091469B"/>
    <w:rsid w:val="009163E8"/>
    <w:rsid w:val="00920B70"/>
    <w:rsid w:val="009216E0"/>
    <w:rsid w:val="00927CA8"/>
    <w:rsid w:val="0093018B"/>
    <w:rsid w:val="00932B83"/>
    <w:rsid w:val="00932F19"/>
    <w:rsid w:val="00933764"/>
    <w:rsid w:val="009355F3"/>
    <w:rsid w:val="00941DCC"/>
    <w:rsid w:val="00941FF6"/>
    <w:rsid w:val="0094583F"/>
    <w:rsid w:val="00946072"/>
    <w:rsid w:val="00953E39"/>
    <w:rsid w:val="009548DF"/>
    <w:rsid w:val="0096169B"/>
    <w:rsid w:val="0096351C"/>
    <w:rsid w:val="00964A91"/>
    <w:rsid w:val="00967523"/>
    <w:rsid w:val="0097000D"/>
    <w:rsid w:val="00970955"/>
    <w:rsid w:val="009738D4"/>
    <w:rsid w:val="00974BD2"/>
    <w:rsid w:val="00975AF5"/>
    <w:rsid w:val="00982122"/>
    <w:rsid w:val="009852C6"/>
    <w:rsid w:val="00985461"/>
    <w:rsid w:val="00990D5D"/>
    <w:rsid w:val="00991585"/>
    <w:rsid w:val="00991B6C"/>
    <w:rsid w:val="0099564A"/>
    <w:rsid w:val="00995F9A"/>
    <w:rsid w:val="009A3DB8"/>
    <w:rsid w:val="009A3FCD"/>
    <w:rsid w:val="009A61E1"/>
    <w:rsid w:val="009A7F83"/>
    <w:rsid w:val="009B22F2"/>
    <w:rsid w:val="009B3BBA"/>
    <w:rsid w:val="009B5BD7"/>
    <w:rsid w:val="009B5EEA"/>
    <w:rsid w:val="009B6C59"/>
    <w:rsid w:val="009C0E91"/>
    <w:rsid w:val="009C31CE"/>
    <w:rsid w:val="009C3EB7"/>
    <w:rsid w:val="009C46B7"/>
    <w:rsid w:val="009C62DD"/>
    <w:rsid w:val="009C72EE"/>
    <w:rsid w:val="009D3D5E"/>
    <w:rsid w:val="009D7D52"/>
    <w:rsid w:val="009E1F95"/>
    <w:rsid w:val="009E3315"/>
    <w:rsid w:val="009F4088"/>
    <w:rsid w:val="009F4FC9"/>
    <w:rsid w:val="009F5D25"/>
    <w:rsid w:val="00A01951"/>
    <w:rsid w:val="00A01EFB"/>
    <w:rsid w:val="00A047C7"/>
    <w:rsid w:val="00A052F7"/>
    <w:rsid w:val="00A05A2D"/>
    <w:rsid w:val="00A07472"/>
    <w:rsid w:val="00A07F91"/>
    <w:rsid w:val="00A11054"/>
    <w:rsid w:val="00A11D7A"/>
    <w:rsid w:val="00A13923"/>
    <w:rsid w:val="00A14323"/>
    <w:rsid w:val="00A15676"/>
    <w:rsid w:val="00A25F05"/>
    <w:rsid w:val="00A265D3"/>
    <w:rsid w:val="00A27B47"/>
    <w:rsid w:val="00A3198E"/>
    <w:rsid w:val="00A31B8F"/>
    <w:rsid w:val="00A32A01"/>
    <w:rsid w:val="00A34931"/>
    <w:rsid w:val="00A37818"/>
    <w:rsid w:val="00A40321"/>
    <w:rsid w:val="00A40B9B"/>
    <w:rsid w:val="00A40D68"/>
    <w:rsid w:val="00A412A9"/>
    <w:rsid w:val="00A46816"/>
    <w:rsid w:val="00A46F0C"/>
    <w:rsid w:val="00A4754E"/>
    <w:rsid w:val="00A55C28"/>
    <w:rsid w:val="00A61045"/>
    <w:rsid w:val="00A6297D"/>
    <w:rsid w:val="00A65C44"/>
    <w:rsid w:val="00A66C58"/>
    <w:rsid w:val="00A703DA"/>
    <w:rsid w:val="00A706A1"/>
    <w:rsid w:val="00A719E4"/>
    <w:rsid w:val="00A723AA"/>
    <w:rsid w:val="00A800E2"/>
    <w:rsid w:val="00A804DF"/>
    <w:rsid w:val="00A80A1C"/>
    <w:rsid w:val="00A80BBC"/>
    <w:rsid w:val="00A8264F"/>
    <w:rsid w:val="00A82E83"/>
    <w:rsid w:val="00A82F04"/>
    <w:rsid w:val="00A86007"/>
    <w:rsid w:val="00A91765"/>
    <w:rsid w:val="00A924BD"/>
    <w:rsid w:val="00A933FA"/>
    <w:rsid w:val="00A95281"/>
    <w:rsid w:val="00A97E1E"/>
    <w:rsid w:val="00AA108B"/>
    <w:rsid w:val="00AA1697"/>
    <w:rsid w:val="00AA2BE6"/>
    <w:rsid w:val="00AA4654"/>
    <w:rsid w:val="00AA56DD"/>
    <w:rsid w:val="00AB04A4"/>
    <w:rsid w:val="00AB04B2"/>
    <w:rsid w:val="00AB2AB8"/>
    <w:rsid w:val="00AB4457"/>
    <w:rsid w:val="00AB4E49"/>
    <w:rsid w:val="00AC29DF"/>
    <w:rsid w:val="00AC4740"/>
    <w:rsid w:val="00AC7BC5"/>
    <w:rsid w:val="00AD1653"/>
    <w:rsid w:val="00AD7F0B"/>
    <w:rsid w:val="00AD7FF3"/>
    <w:rsid w:val="00AE439F"/>
    <w:rsid w:val="00AE7614"/>
    <w:rsid w:val="00AE7A5E"/>
    <w:rsid w:val="00AF2489"/>
    <w:rsid w:val="00AF400A"/>
    <w:rsid w:val="00B004F7"/>
    <w:rsid w:val="00B04438"/>
    <w:rsid w:val="00B07155"/>
    <w:rsid w:val="00B07D71"/>
    <w:rsid w:val="00B10310"/>
    <w:rsid w:val="00B1251A"/>
    <w:rsid w:val="00B1419A"/>
    <w:rsid w:val="00B14493"/>
    <w:rsid w:val="00B14B6E"/>
    <w:rsid w:val="00B15049"/>
    <w:rsid w:val="00B1650A"/>
    <w:rsid w:val="00B17015"/>
    <w:rsid w:val="00B20691"/>
    <w:rsid w:val="00B239CA"/>
    <w:rsid w:val="00B32010"/>
    <w:rsid w:val="00B32B84"/>
    <w:rsid w:val="00B33D87"/>
    <w:rsid w:val="00B35ACB"/>
    <w:rsid w:val="00B3626A"/>
    <w:rsid w:val="00B365CD"/>
    <w:rsid w:val="00B427B5"/>
    <w:rsid w:val="00B550B8"/>
    <w:rsid w:val="00B5691D"/>
    <w:rsid w:val="00B56D60"/>
    <w:rsid w:val="00B5787A"/>
    <w:rsid w:val="00B6026B"/>
    <w:rsid w:val="00B64F2D"/>
    <w:rsid w:val="00B678FA"/>
    <w:rsid w:val="00B705A6"/>
    <w:rsid w:val="00B71579"/>
    <w:rsid w:val="00B72F06"/>
    <w:rsid w:val="00B75F4B"/>
    <w:rsid w:val="00B76343"/>
    <w:rsid w:val="00B80345"/>
    <w:rsid w:val="00B828C0"/>
    <w:rsid w:val="00B830D2"/>
    <w:rsid w:val="00B858BF"/>
    <w:rsid w:val="00B85AE5"/>
    <w:rsid w:val="00B903C0"/>
    <w:rsid w:val="00B90743"/>
    <w:rsid w:val="00B91BF2"/>
    <w:rsid w:val="00B93529"/>
    <w:rsid w:val="00B94534"/>
    <w:rsid w:val="00B95974"/>
    <w:rsid w:val="00BB091F"/>
    <w:rsid w:val="00BB2299"/>
    <w:rsid w:val="00BB3C8F"/>
    <w:rsid w:val="00BB40FC"/>
    <w:rsid w:val="00BB6781"/>
    <w:rsid w:val="00BC04A7"/>
    <w:rsid w:val="00BC2E1E"/>
    <w:rsid w:val="00BC6FF9"/>
    <w:rsid w:val="00BD35E3"/>
    <w:rsid w:val="00BD6FF8"/>
    <w:rsid w:val="00BE0838"/>
    <w:rsid w:val="00BE085F"/>
    <w:rsid w:val="00BE0E8C"/>
    <w:rsid w:val="00BE416C"/>
    <w:rsid w:val="00BE51C2"/>
    <w:rsid w:val="00BE520C"/>
    <w:rsid w:val="00BE7F8E"/>
    <w:rsid w:val="00BF16C8"/>
    <w:rsid w:val="00C064D2"/>
    <w:rsid w:val="00C06DAA"/>
    <w:rsid w:val="00C153C4"/>
    <w:rsid w:val="00C15A01"/>
    <w:rsid w:val="00C15B2A"/>
    <w:rsid w:val="00C169BE"/>
    <w:rsid w:val="00C174AC"/>
    <w:rsid w:val="00C257C8"/>
    <w:rsid w:val="00C25884"/>
    <w:rsid w:val="00C25890"/>
    <w:rsid w:val="00C26800"/>
    <w:rsid w:val="00C3009C"/>
    <w:rsid w:val="00C31832"/>
    <w:rsid w:val="00C325A6"/>
    <w:rsid w:val="00C3271C"/>
    <w:rsid w:val="00C34F5B"/>
    <w:rsid w:val="00C370FA"/>
    <w:rsid w:val="00C40763"/>
    <w:rsid w:val="00C44AA2"/>
    <w:rsid w:val="00C44B81"/>
    <w:rsid w:val="00C47A65"/>
    <w:rsid w:val="00C53994"/>
    <w:rsid w:val="00C54D52"/>
    <w:rsid w:val="00C54F36"/>
    <w:rsid w:val="00C5743E"/>
    <w:rsid w:val="00C60A27"/>
    <w:rsid w:val="00C6397A"/>
    <w:rsid w:val="00C64F80"/>
    <w:rsid w:val="00C67A01"/>
    <w:rsid w:val="00C700B0"/>
    <w:rsid w:val="00C70956"/>
    <w:rsid w:val="00C70DBC"/>
    <w:rsid w:val="00C73A22"/>
    <w:rsid w:val="00C74AEC"/>
    <w:rsid w:val="00C75071"/>
    <w:rsid w:val="00C767AB"/>
    <w:rsid w:val="00C82E72"/>
    <w:rsid w:val="00C85286"/>
    <w:rsid w:val="00C87325"/>
    <w:rsid w:val="00C87916"/>
    <w:rsid w:val="00C91418"/>
    <w:rsid w:val="00C9743A"/>
    <w:rsid w:val="00CA62EF"/>
    <w:rsid w:val="00CB081C"/>
    <w:rsid w:val="00CB2A26"/>
    <w:rsid w:val="00CB73C9"/>
    <w:rsid w:val="00CB7EBB"/>
    <w:rsid w:val="00CC07E0"/>
    <w:rsid w:val="00CC20F0"/>
    <w:rsid w:val="00CC3C34"/>
    <w:rsid w:val="00CC4A8B"/>
    <w:rsid w:val="00CC54FE"/>
    <w:rsid w:val="00CD2106"/>
    <w:rsid w:val="00CD28EB"/>
    <w:rsid w:val="00CD2D5A"/>
    <w:rsid w:val="00CD5EC8"/>
    <w:rsid w:val="00CD6FD1"/>
    <w:rsid w:val="00CE39BF"/>
    <w:rsid w:val="00CE5693"/>
    <w:rsid w:val="00CE57A2"/>
    <w:rsid w:val="00CE7275"/>
    <w:rsid w:val="00CE7A34"/>
    <w:rsid w:val="00CF2F0D"/>
    <w:rsid w:val="00CF5DC7"/>
    <w:rsid w:val="00D0038A"/>
    <w:rsid w:val="00D003E0"/>
    <w:rsid w:val="00D01768"/>
    <w:rsid w:val="00D01E24"/>
    <w:rsid w:val="00D02035"/>
    <w:rsid w:val="00D05D43"/>
    <w:rsid w:val="00D06468"/>
    <w:rsid w:val="00D076A1"/>
    <w:rsid w:val="00D13D1F"/>
    <w:rsid w:val="00D1692F"/>
    <w:rsid w:val="00D2463F"/>
    <w:rsid w:val="00D30A71"/>
    <w:rsid w:val="00D311F3"/>
    <w:rsid w:val="00D32A68"/>
    <w:rsid w:val="00D3456B"/>
    <w:rsid w:val="00D377ED"/>
    <w:rsid w:val="00D42289"/>
    <w:rsid w:val="00D43FD2"/>
    <w:rsid w:val="00D44E5B"/>
    <w:rsid w:val="00D45373"/>
    <w:rsid w:val="00D50D40"/>
    <w:rsid w:val="00D54800"/>
    <w:rsid w:val="00D56518"/>
    <w:rsid w:val="00D611A7"/>
    <w:rsid w:val="00D62A70"/>
    <w:rsid w:val="00D6402F"/>
    <w:rsid w:val="00D6413D"/>
    <w:rsid w:val="00D7014C"/>
    <w:rsid w:val="00D716A2"/>
    <w:rsid w:val="00D71895"/>
    <w:rsid w:val="00D733A3"/>
    <w:rsid w:val="00D7564D"/>
    <w:rsid w:val="00D758F4"/>
    <w:rsid w:val="00D80BA5"/>
    <w:rsid w:val="00D80FFC"/>
    <w:rsid w:val="00D810C3"/>
    <w:rsid w:val="00D83689"/>
    <w:rsid w:val="00D83EFA"/>
    <w:rsid w:val="00D84AFC"/>
    <w:rsid w:val="00D86F4B"/>
    <w:rsid w:val="00D87EBC"/>
    <w:rsid w:val="00D90EE5"/>
    <w:rsid w:val="00D92D60"/>
    <w:rsid w:val="00D9340D"/>
    <w:rsid w:val="00D94111"/>
    <w:rsid w:val="00D972E1"/>
    <w:rsid w:val="00D97BE1"/>
    <w:rsid w:val="00DA0B5F"/>
    <w:rsid w:val="00DA0C47"/>
    <w:rsid w:val="00DA1374"/>
    <w:rsid w:val="00DA2F85"/>
    <w:rsid w:val="00DA3542"/>
    <w:rsid w:val="00DA57F7"/>
    <w:rsid w:val="00DA62EE"/>
    <w:rsid w:val="00DB055B"/>
    <w:rsid w:val="00DB5BBD"/>
    <w:rsid w:val="00DB6EF6"/>
    <w:rsid w:val="00DB6F84"/>
    <w:rsid w:val="00DC05B3"/>
    <w:rsid w:val="00DC3532"/>
    <w:rsid w:val="00DC6453"/>
    <w:rsid w:val="00DC6A36"/>
    <w:rsid w:val="00DC6AA0"/>
    <w:rsid w:val="00DC7567"/>
    <w:rsid w:val="00DD055E"/>
    <w:rsid w:val="00DD083D"/>
    <w:rsid w:val="00DD70E2"/>
    <w:rsid w:val="00DD7A7A"/>
    <w:rsid w:val="00DD7C30"/>
    <w:rsid w:val="00DE5063"/>
    <w:rsid w:val="00DF0A75"/>
    <w:rsid w:val="00DF4BE5"/>
    <w:rsid w:val="00DF5555"/>
    <w:rsid w:val="00DF6E50"/>
    <w:rsid w:val="00DF722F"/>
    <w:rsid w:val="00E004C3"/>
    <w:rsid w:val="00E00938"/>
    <w:rsid w:val="00E00DB6"/>
    <w:rsid w:val="00E01DE9"/>
    <w:rsid w:val="00E12A59"/>
    <w:rsid w:val="00E14036"/>
    <w:rsid w:val="00E14ACE"/>
    <w:rsid w:val="00E1527C"/>
    <w:rsid w:val="00E16584"/>
    <w:rsid w:val="00E16F74"/>
    <w:rsid w:val="00E170D4"/>
    <w:rsid w:val="00E2344D"/>
    <w:rsid w:val="00E23DD4"/>
    <w:rsid w:val="00E2437C"/>
    <w:rsid w:val="00E2508A"/>
    <w:rsid w:val="00E258B9"/>
    <w:rsid w:val="00E32B5F"/>
    <w:rsid w:val="00E33F60"/>
    <w:rsid w:val="00E35640"/>
    <w:rsid w:val="00E360AB"/>
    <w:rsid w:val="00E46A27"/>
    <w:rsid w:val="00E47914"/>
    <w:rsid w:val="00E5239D"/>
    <w:rsid w:val="00E6109C"/>
    <w:rsid w:val="00E6144B"/>
    <w:rsid w:val="00E619E2"/>
    <w:rsid w:val="00E66C0F"/>
    <w:rsid w:val="00E67EDD"/>
    <w:rsid w:val="00E71EA2"/>
    <w:rsid w:val="00E7211E"/>
    <w:rsid w:val="00E73510"/>
    <w:rsid w:val="00E740EE"/>
    <w:rsid w:val="00E7551F"/>
    <w:rsid w:val="00E76B4E"/>
    <w:rsid w:val="00E80653"/>
    <w:rsid w:val="00E83059"/>
    <w:rsid w:val="00E84188"/>
    <w:rsid w:val="00E926DF"/>
    <w:rsid w:val="00E93C84"/>
    <w:rsid w:val="00E93E0E"/>
    <w:rsid w:val="00E962B0"/>
    <w:rsid w:val="00E979B9"/>
    <w:rsid w:val="00E97A6D"/>
    <w:rsid w:val="00EA112A"/>
    <w:rsid w:val="00EA2A0D"/>
    <w:rsid w:val="00EA6424"/>
    <w:rsid w:val="00EA7F51"/>
    <w:rsid w:val="00EB17CD"/>
    <w:rsid w:val="00EB3C05"/>
    <w:rsid w:val="00EB41B6"/>
    <w:rsid w:val="00EB5393"/>
    <w:rsid w:val="00EB7524"/>
    <w:rsid w:val="00EB7882"/>
    <w:rsid w:val="00EC2175"/>
    <w:rsid w:val="00EC40B5"/>
    <w:rsid w:val="00EC593D"/>
    <w:rsid w:val="00EC6E3B"/>
    <w:rsid w:val="00ED0535"/>
    <w:rsid w:val="00ED3298"/>
    <w:rsid w:val="00ED66D0"/>
    <w:rsid w:val="00ED7FBD"/>
    <w:rsid w:val="00EE66D8"/>
    <w:rsid w:val="00EF0FA5"/>
    <w:rsid w:val="00F00C7A"/>
    <w:rsid w:val="00F020FE"/>
    <w:rsid w:val="00F03624"/>
    <w:rsid w:val="00F04F67"/>
    <w:rsid w:val="00F1061A"/>
    <w:rsid w:val="00F1239D"/>
    <w:rsid w:val="00F14723"/>
    <w:rsid w:val="00F25CCF"/>
    <w:rsid w:val="00F26419"/>
    <w:rsid w:val="00F268C1"/>
    <w:rsid w:val="00F30D59"/>
    <w:rsid w:val="00F35074"/>
    <w:rsid w:val="00F37B64"/>
    <w:rsid w:val="00F40765"/>
    <w:rsid w:val="00F42469"/>
    <w:rsid w:val="00F42B9B"/>
    <w:rsid w:val="00F45584"/>
    <w:rsid w:val="00F45FA9"/>
    <w:rsid w:val="00F47516"/>
    <w:rsid w:val="00F475D6"/>
    <w:rsid w:val="00F47A4D"/>
    <w:rsid w:val="00F47C72"/>
    <w:rsid w:val="00F52485"/>
    <w:rsid w:val="00F55DAD"/>
    <w:rsid w:val="00F560BD"/>
    <w:rsid w:val="00F63B88"/>
    <w:rsid w:val="00F647E3"/>
    <w:rsid w:val="00F70D97"/>
    <w:rsid w:val="00F71758"/>
    <w:rsid w:val="00F72D0F"/>
    <w:rsid w:val="00F73700"/>
    <w:rsid w:val="00F73F16"/>
    <w:rsid w:val="00F82A53"/>
    <w:rsid w:val="00F835D0"/>
    <w:rsid w:val="00F9140D"/>
    <w:rsid w:val="00F9554D"/>
    <w:rsid w:val="00F96F60"/>
    <w:rsid w:val="00FA0305"/>
    <w:rsid w:val="00FA1DC2"/>
    <w:rsid w:val="00FA61B1"/>
    <w:rsid w:val="00FB1419"/>
    <w:rsid w:val="00FB38A9"/>
    <w:rsid w:val="00FB5E9E"/>
    <w:rsid w:val="00FB6F9B"/>
    <w:rsid w:val="00FC6515"/>
    <w:rsid w:val="00FC796C"/>
    <w:rsid w:val="00FD0416"/>
    <w:rsid w:val="00FD1801"/>
    <w:rsid w:val="00FD1B85"/>
    <w:rsid w:val="00FD4607"/>
    <w:rsid w:val="00FD469A"/>
    <w:rsid w:val="00FD4C82"/>
    <w:rsid w:val="00FD562A"/>
    <w:rsid w:val="00FD7713"/>
    <w:rsid w:val="00FE1E4E"/>
    <w:rsid w:val="00FE218A"/>
    <w:rsid w:val="00FE2384"/>
    <w:rsid w:val="00FE2F94"/>
    <w:rsid w:val="00FE519F"/>
    <w:rsid w:val="00FF0A1B"/>
    <w:rsid w:val="00FF2847"/>
    <w:rsid w:val="00FF36D6"/>
    <w:rsid w:val="00FF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A8A"/>
  <w15:chartTrackingRefBased/>
  <w15:docId w15:val="{8D8EC75B-45C0-4116-91F4-E1F00F9E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1"/>
        <w:ind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1E"/>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7E1E"/>
    <w:pPr>
      <w:spacing w:before="0"/>
    </w:pPr>
    <w:rPr>
      <w:sz w:val="20"/>
      <w:szCs w:val="20"/>
    </w:rPr>
  </w:style>
  <w:style w:type="character" w:customStyle="1" w:styleId="FootnoteTextChar">
    <w:name w:val="Footnote Text Char"/>
    <w:basedOn w:val="DefaultParagraphFont"/>
    <w:link w:val="FootnoteText"/>
    <w:uiPriority w:val="99"/>
    <w:semiHidden/>
    <w:rsid w:val="00A97E1E"/>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A97E1E"/>
    <w:rPr>
      <w:vertAlign w:val="superscript"/>
    </w:rPr>
  </w:style>
  <w:style w:type="paragraph" w:styleId="EndnoteText">
    <w:name w:val="endnote text"/>
    <w:basedOn w:val="Normal"/>
    <w:link w:val="EndnoteTextChar"/>
    <w:uiPriority w:val="99"/>
    <w:unhideWhenUsed/>
    <w:rsid w:val="007F596E"/>
    <w:pPr>
      <w:spacing w:before="0"/>
    </w:pPr>
    <w:rPr>
      <w:sz w:val="20"/>
      <w:szCs w:val="20"/>
    </w:rPr>
  </w:style>
  <w:style w:type="character" w:customStyle="1" w:styleId="EndnoteTextChar">
    <w:name w:val="Endnote Text Char"/>
    <w:basedOn w:val="DefaultParagraphFont"/>
    <w:link w:val="EndnoteText"/>
    <w:uiPriority w:val="99"/>
    <w:rsid w:val="007F596E"/>
    <w:rPr>
      <w:rFonts w:ascii="Times New Roman" w:eastAsia="PMingLiU" w:hAnsi="Times New Roman" w:cs="Times New Roman"/>
      <w:sz w:val="20"/>
      <w:szCs w:val="20"/>
    </w:rPr>
  </w:style>
  <w:style w:type="character" w:styleId="EndnoteReference">
    <w:name w:val="endnote reference"/>
    <w:basedOn w:val="DefaultParagraphFont"/>
    <w:uiPriority w:val="99"/>
    <w:semiHidden/>
    <w:unhideWhenUsed/>
    <w:rsid w:val="007F596E"/>
    <w:rPr>
      <w:vertAlign w:val="superscript"/>
    </w:rPr>
  </w:style>
  <w:style w:type="paragraph" w:styleId="Footer">
    <w:name w:val="footer"/>
    <w:basedOn w:val="Normal"/>
    <w:link w:val="FooterChar"/>
    <w:uiPriority w:val="99"/>
    <w:semiHidden/>
    <w:unhideWhenUsed/>
    <w:rsid w:val="006A000B"/>
    <w:pPr>
      <w:tabs>
        <w:tab w:val="center" w:pos="4680"/>
        <w:tab w:val="right" w:pos="9360"/>
      </w:tabs>
      <w:spacing w:before="0"/>
    </w:pPr>
  </w:style>
  <w:style w:type="character" w:customStyle="1" w:styleId="FooterChar">
    <w:name w:val="Footer Char"/>
    <w:basedOn w:val="DefaultParagraphFont"/>
    <w:link w:val="Footer"/>
    <w:uiPriority w:val="99"/>
    <w:semiHidden/>
    <w:rsid w:val="006A000B"/>
    <w:rPr>
      <w:rFonts w:ascii="Times New Roman" w:eastAsia="PMingLiU" w:hAnsi="Times New Roman" w:cs="Times New Roman"/>
    </w:rPr>
  </w:style>
  <w:style w:type="character" w:styleId="Hyperlink">
    <w:name w:val="Hyperlink"/>
    <w:basedOn w:val="DefaultParagraphFont"/>
    <w:uiPriority w:val="99"/>
    <w:unhideWhenUsed/>
    <w:rsid w:val="00180C1A"/>
    <w:rPr>
      <w:color w:val="0563C1" w:themeColor="hyperlink"/>
      <w:u w:val="single"/>
    </w:rPr>
  </w:style>
  <w:style w:type="character" w:styleId="UnresolvedMention">
    <w:name w:val="Unresolved Mention"/>
    <w:basedOn w:val="DefaultParagraphFont"/>
    <w:uiPriority w:val="99"/>
    <w:semiHidden/>
    <w:unhideWhenUsed/>
    <w:rsid w:val="0018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833">
      <w:bodyDiv w:val="1"/>
      <w:marLeft w:val="0"/>
      <w:marRight w:val="0"/>
      <w:marTop w:val="0"/>
      <w:marBottom w:val="0"/>
      <w:divBdr>
        <w:top w:val="none" w:sz="0" w:space="0" w:color="auto"/>
        <w:left w:val="none" w:sz="0" w:space="0" w:color="auto"/>
        <w:bottom w:val="none" w:sz="0" w:space="0" w:color="auto"/>
        <w:right w:val="none" w:sz="0" w:space="0" w:color="auto"/>
      </w:divBdr>
      <w:divsChild>
        <w:div w:id="279840075">
          <w:marLeft w:val="0"/>
          <w:marRight w:val="0"/>
          <w:marTop w:val="0"/>
          <w:marBottom w:val="0"/>
          <w:divBdr>
            <w:top w:val="none" w:sz="0" w:space="0" w:color="auto"/>
            <w:left w:val="none" w:sz="0" w:space="0" w:color="auto"/>
            <w:bottom w:val="none" w:sz="0" w:space="0" w:color="auto"/>
            <w:right w:val="none" w:sz="0" w:space="0" w:color="auto"/>
          </w:divBdr>
          <w:divsChild>
            <w:div w:id="1585410780">
              <w:marLeft w:val="0"/>
              <w:marRight w:val="0"/>
              <w:marTop w:val="0"/>
              <w:marBottom w:val="0"/>
              <w:divBdr>
                <w:top w:val="none" w:sz="0" w:space="0" w:color="auto"/>
                <w:left w:val="none" w:sz="0" w:space="0" w:color="auto"/>
                <w:bottom w:val="none" w:sz="0" w:space="0" w:color="auto"/>
                <w:right w:val="none" w:sz="0" w:space="0" w:color="auto"/>
              </w:divBdr>
              <w:divsChild>
                <w:div w:id="18582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5119">
      <w:bodyDiv w:val="1"/>
      <w:marLeft w:val="0"/>
      <w:marRight w:val="0"/>
      <w:marTop w:val="0"/>
      <w:marBottom w:val="0"/>
      <w:divBdr>
        <w:top w:val="none" w:sz="0" w:space="0" w:color="auto"/>
        <w:left w:val="none" w:sz="0" w:space="0" w:color="auto"/>
        <w:bottom w:val="none" w:sz="0" w:space="0" w:color="auto"/>
        <w:right w:val="none" w:sz="0" w:space="0" w:color="auto"/>
      </w:divBdr>
    </w:div>
    <w:div w:id="790368143">
      <w:bodyDiv w:val="1"/>
      <w:marLeft w:val="0"/>
      <w:marRight w:val="0"/>
      <w:marTop w:val="0"/>
      <w:marBottom w:val="0"/>
      <w:divBdr>
        <w:top w:val="none" w:sz="0" w:space="0" w:color="auto"/>
        <w:left w:val="none" w:sz="0" w:space="0" w:color="auto"/>
        <w:bottom w:val="none" w:sz="0" w:space="0" w:color="auto"/>
        <w:right w:val="none" w:sz="0" w:space="0" w:color="auto"/>
      </w:divBdr>
      <w:divsChild>
        <w:div w:id="2039430246">
          <w:marLeft w:val="0"/>
          <w:marRight w:val="0"/>
          <w:marTop w:val="0"/>
          <w:marBottom w:val="0"/>
          <w:divBdr>
            <w:top w:val="none" w:sz="0" w:space="0" w:color="auto"/>
            <w:left w:val="none" w:sz="0" w:space="0" w:color="auto"/>
            <w:bottom w:val="none" w:sz="0" w:space="0" w:color="auto"/>
            <w:right w:val="none" w:sz="0" w:space="0" w:color="auto"/>
          </w:divBdr>
          <w:divsChild>
            <w:div w:id="1945456729">
              <w:marLeft w:val="0"/>
              <w:marRight w:val="0"/>
              <w:marTop w:val="0"/>
              <w:marBottom w:val="0"/>
              <w:divBdr>
                <w:top w:val="none" w:sz="0" w:space="0" w:color="auto"/>
                <w:left w:val="none" w:sz="0" w:space="0" w:color="auto"/>
                <w:bottom w:val="none" w:sz="0" w:space="0" w:color="auto"/>
                <w:right w:val="none" w:sz="0" w:space="0" w:color="auto"/>
              </w:divBdr>
              <w:divsChild>
                <w:div w:id="19973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41418">
      <w:bodyDiv w:val="1"/>
      <w:marLeft w:val="0"/>
      <w:marRight w:val="0"/>
      <w:marTop w:val="0"/>
      <w:marBottom w:val="0"/>
      <w:divBdr>
        <w:top w:val="none" w:sz="0" w:space="0" w:color="auto"/>
        <w:left w:val="none" w:sz="0" w:space="0" w:color="auto"/>
        <w:bottom w:val="none" w:sz="0" w:space="0" w:color="auto"/>
        <w:right w:val="none" w:sz="0" w:space="0" w:color="auto"/>
      </w:divBdr>
      <w:divsChild>
        <w:div w:id="1303921186">
          <w:marLeft w:val="0"/>
          <w:marRight w:val="0"/>
          <w:marTop w:val="0"/>
          <w:marBottom w:val="0"/>
          <w:divBdr>
            <w:top w:val="none" w:sz="0" w:space="0" w:color="auto"/>
            <w:left w:val="none" w:sz="0" w:space="0" w:color="auto"/>
            <w:bottom w:val="none" w:sz="0" w:space="0" w:color="auto"/>
            <w:right w:val="none" w:sz="0" w:space="0" w:color="auto"/>
          </w:divBdr>
          <w:divsChild>
            <w:div w:id="1159612443">
              <w:marLeft w:val="0"/>
              <w:marRight w:val="0"/>
              <w:marTop w:val="0"/>
              <w:marBottom w:val="0"/>
              <w:divBdr>
                <w:top w:val="none" w:sz="0" w:space="0" w:color="auto"/>
                <w:left w:val="none" w:sz="0" w:space="0" w:color="auto"/>
                <w:bottom w:val="none" w:sz="0" w:space="0" w:color="auto"/>
                <w:right w:val="none" w:sz="0" w:space="0" w:color="auto"/>
              </w:divBdr>
              <w:divsChild>
                <w:div w:id="941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72468">
      <w:bodyDiv w:val="1"/>
      <w:marLeft w:val="0"/>
      <w:marRight w:val="0"/>
      <w:marTop w:val="0"/>
      <w:marBottom w:val="0"/>
      <w:divBdr>
        <w:top w:val="none" w:sz="0" w:space="0" w:color="auto"/>
        <w:left w:val="none" w:sz="0" w:space="0" w:color="auto"/>
        <w:bottom w:val="none" w:sz="0" w:space="0" w:color="auto"/>
        <w:right w:val="none" w:sz="0" w:space="0" w:color="auto"/>
      </w:divBdr>
    </w:div>
    <w:div w:id="1078475287">
      <w:bodyDiv w:val="1"/>
      <w:marLeft w:val="0"/>
      <w:marRight w:val="0"/>
      <w:marTop w:val="0"/>
      <w:marBottom w:val="0"/>
      <w:divBdr>
        <w:top w:val="none" w:sz="0" w:space="0" w:color="auto"/>
        <w:left w:val="none" w:sz="0" w:space="0" w:color="auto"/>
        <w:bottom w:val="none" w:sz="0" w:space="0" w:color="auto"/>
        <w:right w:val="none" w:sz="0" w:space="0" w:color="auto"/>
      </w:divBdr>
      <w:divsChild>
        <w:div w:id="1697077009">
          <w:marLeft w:val="0"/>
          <w:marRight w:val="0"/>
          <w:marTop w:val="0"/>
          <w:marBottom w:val="0"/>
          <w:divBdr>
            <w:top w:val="none" w:sz="0" w:space="0" w:color="auto"/>
            <w:left w:val="none" w:sz="0" w:space="0" w:color="auto"/>
            <w:bottom w:val="none" w:sz="0" w:space="0" w:color="auto"/>
            <w:right w:val="none" w:sz="0" w:space="0" w:color="auto"/>
          </w:divBdr>
          <w:divsChild>
            <w:div w:id="617296028">
              <w:marLeft w:val="0"/>
              <w:marRight w:val="0"/>
              <w:marTop w:val="0"/>
              <w:marBottom w:val="0"/>
              <w:divBdr>
                <w:top w:val="none" w:sz="0" w:space="0" w:color="auto"/>
                <w:left w:val="none" w:sz="0" w:space="0" w:color="auto"/>
                <w:bottom w:val="none" w:sz="0" w:space="0" w:color="auto"/>
                <w:right w:val="none" w:sz="0" w:space="0" w:color="auto"/>
              </w:divBdr>
              <w:divsChild>
                <w:div w:id="16266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1800">
      <w:bodyDiv w:val="1"/>
      <w:marLeft w:val="0"/>
      <w:marRight w:val="0"/>
      <w:marTop w:val="0"/>
      <w:marBottom w:val="0"/>
      <w:divBdr>
        <w:top w:val="none" w:sz="0" w:space="0" w:color="auto"/>
        <w:left w:val="none" w:sz="0" w:space="0" w:color="auto"/>
        <w:bottom w:val="none" w:sz="0" w:space="0" w:color="auto"/>
        <w:right w:val="none" w:sz="0" w:space="0" w:color="auto"/>
      </w:divBdr>
    </w:div>
    <w:div w:id="1328945378">
      <w:bodyDiv w:val="1"/>
      <w:marLeft w:val="0"/>
      <w:marRight w:val="0"/>
      <w:marTop w:val="0"/>
      <w:marBottom w:val="0"/>
      <w:divBdr>
        <w:top w:val="none" w:sz="0" w:space="0" w:color="auto"/>
        <w:left w:val="none" w:sz="0" w:space="0" w:color="auto"/>
        <w:bottom w:val="none" w:sz="0" w:space="0" w:color="auto"/>
        <w:right w:val="none" w:sz="0" w:space="0" w:color="auto"/>
      </w:divBdr>
    </w:div>
    <w:div w:id="1577396214">
      <w:bodyDiv w:val="1"/>
      <w:marLeft w:val="0"/>
      <w:marRight w:val="0"/>
      <w:marTop w:val="0"/>
      <w:marBottom w:val="0"/>
      <w:divBdr>
        <w:top w:val="none" w:sz="0" w:space="0" w:color="auto"/>
        <w:left w:val="none" w:sz="0" w:space="0" w:color="auto"/>
        <w:bottom w:val="none" w:sz="0" w:space="0" w:color="auto"/>
        <w:right w:val="none" w:sz="0" w:space="0" w:color="auto"/>
      </w:divBdr>
      <w:divsChild>
        <w:div w:id="2081362471">
          <w:marLeft w:val="0"/>
          <w:marRight w:val="0"/>
          <w:marTop w:val="0"/>
          <w:marBottom w:val="0"/>
          <w:divBdr>
            <w:top w:val="none" w:sz="0" w:space="0" w:color="auto"/>
            <w:left w:val="none" w:sz="0" w:space="0" w:color="auto"/>
            <w:bottom w:val="none" w:sz="0" w:space="0" w:color="auto"/>
            <w:right w:val="none" w:sz="0" w:space="0" w:color="auto"/>
          </w:divBdr>
          <w:divsChild>
            <w:div w:id="61487194">
              <w:marLeft w:val="0"/>
              <w:marRight w:val="0"/>
              <w:marTop w:val="0"/>
              <w:marBottom w:val="0"/>
              <w:divBdr>
                <w:top w:val="none" w:sz="0" w:space="0" w:color="auto"/>
                <w:left w:val="none" w:sz="0" w:space="0" w:color="auto"/>
                <w:bottom w:val="none" w:sz="0" w:space="0" w:color="auto"/>
                <w:right w:val="none" w:sz="0" w:space="0" w:color="auto"/>
              </w:divBdr>
              <w:divsChild>
                <w:div w:id="1061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6961">
      <w:bodyDiv w:val="1"/>
      <w:marLeft w:val="0"/>
      <w:marRight w:val="0"/>
      <w:marTop w:val="0"/>
      <w:marBottom w:val="0"/>
      <w:divBdr>
        <w:top w:val="none" w:sz="0" w:space="0" w:color="auto"/>
        <w:left w:val="none" w:sz="0" w:space="0" w:color="auto"/>
        <w:bottom w:val="none" w:sz="0" w:space="0" w:color="auto"/>
        <w:right w:val="none" w:sz="0" w:space="0" w:color="auto"/>
      </w:divBdr>
    </w:div>
    <w:div w:id="1672946693">
      <w:bodyDiv w:val="1"/>
      <w:marLeft w:val="0"/>
      <w:marRight w:val="0"/>
      <w:marTop w:val="0"/>
      <w:marBottom w:val="0"/>
      <w:divBdr>
        <w:top w:val="none" w:sz="0" w:space="0" w:color="auto"/>
        <w:left w:val="none" w:sz="0" w:space="0" w:color="auto"/>
        <w:bottom w:val="none" w:sz="0" w:space="0" w:color="auto"/>
        <w:right w:val="none" w:sz="0" w:space="0" w:color="auto"/>
      </w:divBdr>
      <w:divsChild>
        <w:div w:id="494420092">
          <w:marLeft w:val="0"/>
          <w:marRight w:val="0"/>
          <w:marTop w:val="0"/>
          <w:marBottom w:val="0"/>
          <w:divBdr>
            <w:top w:val="none" w:sz="0" w:space="0" w:color="auto"/>
            <w:left w:val="none" w:sz="0" w:space="0" w:color="auto"/>
            <w:bottom w:val="none" w:sz="0" w:space="0" w:color="auto"/>
            <w:right w:val="none" w:sz="0" w:space="0" w:color="auto"/>
          </w:divBdr>
          <w:divsChild>
            <w:div w:id="255329771">
              <w:marLeft w:val="0"/>
              <w:marRight w:val="0"/>
              <w:marTop w:val="0"/>
              <w:marBottom w:val="0"/>
              <w:divBdr>
                <w:top w:val="none" w:sz="0" w:space="0" w:color="auto"/>
                <w:left w:val="none" w:sz="0" w:space="0" w:color="auto"/>
                <w:bottom w:val="none" w:sz="0" w:space="0" w:color="auto"/>
                <w:right w:val="none" w:sz="0" w:space="0" w:color="auto"/>
              </w:divBdr>
              <w:divsChild>
                <w:div w:id="297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1016">
      <w:bodyDiv w:val="1"/>
      <w:marLeft w:val="0"/>
      <w:marRight w:val="0"/>
      <w:marTop w:val="0"/>
      <w:marBottom w:val="0"/>
      <w:divBdr>
        <w:top w:val="none" w:sz="0" w:space="0" w:color="auto"/>
        <w:left w:val="none" w:sz="0" w:space="0" w:color="auto"/>
        <w:bottom w:val="none" w:sz="0" w:space="0" w:color="auto"/>
        <w:right w:val="none" w:sz="0" w:space="0" w:color="auto"/>
      </w:divBdr>
      <w:divsChild>
        <w:div w:id="200872073">
          <w:marLeft w:val="0"/>
          <w:marRight w:val="0"/>
          <w:marTop w:val="0"/>
          <w:marBottom w:val="0"/>
          <w:divBdr>
            <w:top w:val="none" w:sz="0" w:space="0" w:color="auto"/>
            <w:left w:val="none" w:sz="0" w:space="0" w:color="auto"/>
            <w:bottom w:val="none" w:sz="0" w:space="0" w:color="auto"/>
            <w:right w:val="none" w:sz="0" w:space="0" w:color="auto"/>
          </w:divBdr>
          <w:divsChild>
            <w:div w:id="2132363423">
              <w:marLeft w:val="0"/>
              <w:marRight w:val="0"/>
              <w:marTop w:val="0"/>
              <w:marBottom w:val="0"/>
              <w:divBdr>
                <w:top w:val="none" w:sz="0" w:space="0" w:color="auto"/>
                <w:left w:val="none" w:sz="0" w:space="0" w:color="auto"/>
                <w:bottom w:val="none" w:sz="0" w:space="0" w:color="auto"/>
                <w:right w:val="none" w:sz="0" w:space="0" w:color="auto"/>
              </w:divBdr>
              <w:divsChild>
                <w:div w:id="241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49176">
      <w:bodyDiv w:val="1"/>
      <w:marLeft w:val="0"/>
      <w:marRight w:val="0"/>
      <w:marTop w:val="0"/>
      <w:marBottom w:val="0"/>
      <w:divBdr>
        <w:top w:val="none" w:sz="0" w:space="0" w:color="auto"/>
        <w:left w:val="none" w:sz="0" w:space="0" w:color="auto"/>
        <w:bottom w:val="none" w:sz="0" w:space="0" w:color="auto"/>
        <w:right w:val="none" w:sz="0" w:space="0" w:color="auto"/>
      </w:divBdr>
      <w:divsChild>
        <w:div w:id="1781483795">
          <w:marLeft w:val="0"/>
          <w:marRight w:val="0"/>
          <w:marTop w:val="0"/>
          <w:marBottom w:val="0"/>
          <w:divBdr>
            <w:top w:val="none" w:sz="0" w:space="0" w:color="auto"/>
            <w:left w:val="none" w:sz="0" w:space="0" w:color="auto"/>
            <w:bottom w:val="none" w:sz="0" w:space="0" w:color="auto"/>
            <w:right w:val="none" w:sz="0" w:space="0" w:color="auto"/>
          </w:divBdr>
          <w:divsChild>
            <w:div w:id="2064328289">
              <w:marLeft w:val="0"/>
              <w:marRight w:val="0"/>
              <w:marTop w:val="0"/>
              <w:marBottom w:val="0"/>
              <w:divBdr>
                <w:top w:val="none" w:sz="0" w:space="0" w:color="auto"/>
                <w:left w:val="none" w:sz="0" w:space="0" w:color="auto"/>
                <w:bottom w:val="none" w:sz="0" w:space="0" w:color="auto"/>
                <w:right w:val="none" w:sz="0" w:space="0" w:color="auto"/>
              </w:divBdr>
              <w:divsChild>
                <w:div w:id="4293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6563-0450-4D49-8352-FB48AF28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FF6D9-61AB-4466-9982-2482E03F548F}">
  <ds:schemaRefs>
    <ds:schemaRef ds:uri="http://schemas.microsoft.com/sharepoint/v3/contenttype/forms"/>
  </ds:schemaRefs>
</ds:datastoreItem>
</file>

<file path=customXml/itemProps3.xml><?xml version="1.0" encoding="utf-8"?>
<ds:datastoreItem xmlns:ds="http://schemas.openxmlformats.org/officeDocument/2006/customXml" ds:itemID="{96A2DBFF-6390-4E51-8911-E382C695E2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7C81465-F1D3-4469-91ED-4F86D91A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5</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2</cp:revision>
  <dcterms:created xsi:type="dcterms:W3CDTF">2023-05-29T18:07:00Z</dcterms:created>
  <dcterms:modified xsi:type="dcterms:W3CDTF">2023-12-05T17:15:00Z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