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(Interference with Process Servers)</w:t>
        <w:br/>
      </w:r>
      <w:r>
        <w:rPr>
          <w:rFonts w:ascii="Arial" w:hAnsi="Arial" w:eastAsia="Arial"/>
          <w:b w:val="true"/>
          <w:color w:val="000000"/>
          <w:spacing w:val="0"/>
          <w:w w:val="100"/>
          <w:sz w:val="28"/>
          <w:vertAlign w:val="baseline"/>
          <w:lang w:val="en-US"/>
        </w:rPr>
        <w:t xml:space="preserve">Penal Law § 120.05 (14)</w:t>
        <w:br/>
      </w:r>
      <w:r>
        <w:rPr>
          <w:rFonts w:ascii="Arial" w:hAnsi="Arial" w:eastAsia="Arial"/>
          <w:b w:val="true"/>
          <w:color w:val="000000"/>
          <w:spacing w:val="0"/>
          <w:w w:val="100"/>
          <w:sz w:val="28"/>
          <w:vertAlign w:val="baseline"/>
          <w:lang w:val="en-US"/>
        </w:rPr>
        <w:t xml:space="preserve">(Committed on or after Nov. 1, 2016)</w:t>
      </w:r>
    </w:p>
    <w:p>
      <w:pPr>
        <w:pageBreakBefore w:val="false"/>
        <w:spacing w:before="645"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19"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Assault in the Second Degree when with intent to prevent or obstruct a process server</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17"/>
          <w:vertAlign w:val="baseline"/>
          <w:lang w:val="en-US"/>
        </w:rPr>
        <w:t xml:space="preserve"> </w:t>
      </w:r>
      <w:r>
        <w:rPr>
          <w:rFonts w:ascii="Arial" w:hAnsi="Arial" w:eastAsia="Arial"/>
          <w:color w:val="000000"/>
          <w:spacing w:val="-3"/>
          <w:w w:val="100"/>
          <w:sz w:val="28"/>
          <w:vertAlign w:val="baseline"/>
          <w:lang w:val="en-US"/>
        </w:rPr>
        <w:t xml:space="preserve">from performing a lawful duty</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28"/>
          <w:vertAlign w:val="baseline"/>
          <w:lang w:val="en-US"/>
        </w:rPr>
        <w:t xml:space="preserve">, or intentionally, as retaliation against such a process server for the performance of the process server’s duties,</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28"/>
          <w:vertAlign w:val="baseline"/>
          <w:lang w:val="en-US"/>
        </w:rPr>
        <w:t xml:space="preserve"> he or she causes physical injury to such process server.</w:t>
      </w:r>
    </w:p>
    <w:p>
      <w:pPr>
        <w:pageBreakBefore w:val="false"/>
        <w:spacing w:before="326"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5" w:after="346" w:line="320"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 PROCESS SERVER is a person other than an attorney or a party to an action acting on his own behalf who: (a) derives income from the service of papers in an action; or (b) has effected service of process in five or more actions or proceedings in the twelve month period immediately preceding the service in question. </w:t>
      </w:r>
      <w:r>
        <w:rPr>
          <w:rFonts w:ascii="Arial" w:hAnsi="Arial" w:eastAsia="Arial"/>
          <w:color w:val="000000"/>
          <w:spacing w:val="-5"/>
          <w:w w:val="100"/>
          <w:sz w:val="28"/>
          <w:vertAlign w:val="superscript"/>
          <w:lang w:val="en-US"/>
        </w:rPr>
        <w:t xml:space="preserve">4</w:t>
      </w:r>
      <w:r>
        <w:rPr>
          <w:rFonts w:ascii="Arial" w:hAnsi="Arial" w:eastAsia="Arial"/>
          <w:color w:val="000000"/>
          <w:spacing w:val="-5"/>
          <w:w w:val="100"/>
          <w:sz w:val="14"/>
          <w:vertAlign w:val="baseline"/>
          <w:lang w:val="en-US"/>
        </w:rPr>
        <w:t xml:space="preserve">
</w:t>
      </w:r>
    </w:p>
    <w:p>
      <w:pPr>
        <w:pageBreakBefore w:val="false"/>
        <w:spacing w:before="94"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0.7pt" strokecolor="#000000" from="108pt,457.9pt" to="252.05pt,457.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states “as defined in section eighty-nine-t of the general business law.” That definition is set forth in the definition section of this charge.</w:t>
      </w:r>
    </w:p>
    <w:p>
      <w:pPr>
        <w:pageBreakBefore w:val="false"/>
        <w:spacing w:before="271"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At this point, the statute states: “pursuant to article three of the civil practice law and rules”. Those words are omitted here. If the lawful duties of a process server are in issue, the charge will need to be modified within the context of the facts presented by outlining the relevant, lawful duties of a process server set forth in CPLR art. 3.</w:t>
      </w:r>
    </w:p>
    <w:p>
      <w:pPr>
        <w:pageBreakBefore w:val="false"/>
        <w:spacing w:before="267"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At this point, the statute states: “pursuant to such article,” referring to CPLR art. 3.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2. And, the statute continues thereafter to state: “including by means of releasing or failing to control an animal evincing the actor’s intent that the animal prevent or obstruct the lawful duty of the process server or as retaliation against the process server.” That latter language need be included only if applicable.</w:t>
      </w:r>
    </w:p>
    <w:p>
      <w:pPr>
        <w:pageBreakBefore w:val="false"/>
        <w:spacing w:before="279" w:after="0" w:line="277"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4</w:t>
      </w:r>
      <w:r>
        <w:rPr>
          <w:rFonts w:ascii="Arial" w:hAnsi="Arial" w:eastAsia="Arial"/>
          <w:color w:val="000000"/>
          <w:spacing w:val="-1"/>
          <w:w w:val="100"/>
          <w:sz w:val="24"/>
          <w:vertAlign w:val="baseline"/>
          <w:lang w:val="en-US"/>
        </w:rPr>
        <w:t xml:space="preserve"> General Business Law § 89-t</w:t>
      </w:r>
      <w:r>
        <w:rPr>
          <w:rFonts w:ascii="Times New Roman" w:hAnsi="Times New Roman" w:eastAsia="Times New Roman"/>
          <w:color w:val="000000"/>
          <w:spacing w:val="-1"/>
          <w:w w:val="100"/>
          <w:sz w:val="24"/>
          <w:vertAlign w:val="baseline"/>
          <w:lang w:val="en-US"/>
        </w:rPr>
        <w:t xml:space="preserve">.</w:t>
      </w:r>
    </w:p>
    <w:p>
      <w:pPr>
        <w:pageBreakBefore w:val="false"/>
        <w:spacing w:before="275" w:after="0" w:line="277"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color w:val="000000"/>
          <w:spacing w:val="-1"/>
          <w:w w:val="100"/>
          <w:sz w:val="24"/>
          <w:vertAlign w:val="baseline"/>
          <w:lang w:val="en-US"/>
        </w:rPr>
        <w:t xml:space="preserve"> General Business Law § 89-t</w:t>
      </w:r>
      <w:r>
        <w:rPr>
          <w:rFonts w:ascii="Times New Roman" w:hAnsi="Times New Roman" w:eastAsia="Times New Roman"/>
          <w:color w:val="000000"/>
          <w:spacing w:val="-1"/>
          <w:w w:val="100"/>
          <w:sz w:val="24"/>
          <w:vertAlign w:val="baseline"/>
          <w:lang w:val="en-US"/>
        </w:rPr>
        <w:t xml:space="preserve">.</w:t>
      </w:r>
    </w:p>
    <w:p>
      <w:pPr>
        <w:sectPr>
          <w:type w:val="nextPage"/>
          <w:pgSz w:w="12240" w:h="15840" w:orient="portrait"/>
          <w:pgMar w:bottom="604" w:top="1080" w:right="2140" w:left="2160" w:header="720" w:footer="720"/>
          <w:titlePg w:val="false"/>
          <w:textDirection w:val="lrTb"/>
        </w:sectPr>
      </w:pPr>
    </w:p>
    <w:p>
      <w:pPr>
        <w:pageBreakBefore w:val="false"/>
        <w:spacing w:before="15" w:after="0" w:line="319" w:lineRule="exact"/>
        <w:ind w:right="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appropriate:</w:t>
      </w:r>
    </w:p>
    <w:p>
      <w:pPr>
        <w:pageBreakBefore w:val="false"/>
        <w:spacing w:before="0" w:after="0" w:line="320"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serves interlocutory papers upon an attorney or who serves papers on behalf of a federal, state or local governmental agency in the course of his employment by such agency shall not be deemed a process server within the meaning of this article by virtue of such service.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17"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15"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prevent or obstruct a process server, from performing a lawful duty, or intentionally, as retaliation against such a process server for the performance of the process server’s duties, when that person’s conscious objective or purpose is to do so.</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7" w:after="0" w:line="322"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642" w:after="0" w:line="322"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a process server performing a lawful duty;</w:t>
      </w:r>
    </w:p>
    <w:p>
      <w:pPr>
        <w:pageBreakBefore w:val="false"/>
        <w:numPr>
          <w:ilvl w:val="0"/>
          <w:numId w:val="1"/>
        </w:numPr>
        <w:tabs>
          <w:tab w:val="clear" w:pos="720"/>
          <w:tab w:val="left" w:pos="1440"/>
        </w:tabs>
        <w:spacing w:before="326" w:after="0" w:line="322"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caused physical injury to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9" w:after="423" w:line="322"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prevent or obstruct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vertAlign w:val="baseline"/>
          <w:lang w:val="en-US"/>
        </w:rPr>
        <w:t xml:space="preserve">) from performing a lawful duty, or intentionally, as retaliation against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vertAlign w:val="baseline"/>
          <w:lang w:val="en-US"/>
        </w:rPr>
        <w:t xml:space="preserve">) for the performance of his/her duties.</w:t>
      </w:r>
    </w:p>
    <w:p>
      <w:pPr>
        <w:pageBreakBefore w:val="false"/>
        <w:spacing w:before="370" w:after="0" w:line="272" w:lineRule="exact"/>
        <w:ind w:right="0" w:left="720" w:firstLine="0"/>
        <w:jc w:val="left"/>
        <w:textAlignment w:val="baseline"/>
        <w:rPr>
          <w:rFonts w:ascii="Arial" w:hAnsi="Arial" w:eastAsia="Arial"/>
          <w:color w:val="000000"/>
          <w:spacing w:val="-2"/>
          <w:w w:val="100"/>
          <w:sz w:val="14"/>
          <w:vertAlign w:val="superscript"/>
          <w:lang w:val="en-US"/>
        </w:rPr>
      </w:pPr>
      <w:r>
        <w:pict>
          <v:line strokeweight="0.5pt" strokecolor="#000000" from="107.45pt,655.45pt" to="252.05pt,655.4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Penal Law § 10.00 (9); </w:t>
      </w:r>
      <w:r>
        <w:rPr>
          <w:rFonts w:ascii="Arial" w:hAnsi="Arial" w:eastAsia="Arial"/>
          <w:i w:val="true"/>
          <w:color w:val="000000"/>
          <w:spacing w:val="-2"/>
          <w:w w:val="100"/>
          <w:sz w:val="24"/>
          <w:vertAlign w:val="baseline"/>
          <w:lang w:val="en-US"/>
        </w:rPr>
        <w:t xml:space="preserve">See People v Chiddick</w:t>
      </w:r>
      <w:r>
        <w:rPr>
          <w:rFonts w:ascii="Arial" w:hAnsi="Arial" w:eastAsia="Arial"/>
          <w:color w:val="000000"/>
          <w:spacing w:val="-2"/>
          <w:w w:val="100"/>
          <w:sz w:val="24"/>
          <w:vertAlign w:val="baseline"/>
          <w:lang w:val="en-US"/>
        </w:rPr>
        <w:t xml:space="preserve">, 8 NY3d 445 (2007).</w:t>
      </w:r>
    </w:p>
    <w:p>
      <w:pPr>
        <w:pageBreakBefore w:val="false"/>
        <w:spacing w:before="277" w:after="0" w:line="272"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See Penal Law § 15.05 (1).</w:t>
      </w:r>
    </w:p>
    <w:p>
      <w:pPr>
        <w:pageBreakBefore w:val="false"/>
        <w:spacing w:before="243"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400" w:right="2105" w:left="2149" w:header="720" w:footer="720"/>
          <w:titlePg w:val="false"/>
          <w:textDirection w:val="lrTb"/>
        </w:sectPr>
      </w:pPr>
    </w:p>
    <w:p>
      <w:pPr>
        <w:pageBreakBefore w:val="false"/>
        <w:spacing w:before="14"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10866"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10866" w:line="321" w:lineRule="exact"/>
        <w:sectPr>
          <w:type w:val="nextPage"/>
          <w:pgSz w:w="12240" w:h="15840" w:orient="portrait"/>
          <w:pgMar w:bottom="664" w:top="1400" w:right="2119" w:left="213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664" w:top="1400" w:right="2127" w:left="212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