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STALKING IN THE FIRST DEGREE</w:t>
        <w:br/>
      </w:r>
      <w:r>
        <w:rPr>
          <w:rFonts w:ascii="Arial" w:hAnsi="Arial" w:eastAsia="Arial"/>
          <w:b w:val="true"/>
          <w:strike w:val="false"/>
          <w:color w:val="000000"/>
          <w:spacing w:val="0"/>
          <w:w w:val="100"/>
          <w:sz w:val="28"/>
          <w:vertAlign w:val="baseline"/>
          <w:lang w:val="en-US"/>
        </w:rPr>
        <w:t xml:space="preserve">(Causes physical injury)</w:t>
        <w:br/>
      </w:r>
      <w:r>
        <w:rPr>
          <w:rFonts w:ascii="Arial" w:hAnsi="Arial" w:eastAsia="Arial"/>
          <w:b w:val="true"/>
          <w:strike w:val="false"/>
          <w:color w:val="000000"/>
          <w:spacing w:val="0"/>
          <w:w w:val="100"/>
          <w:sz w:val="28"/>
          <w:vertAlign w:val="baseline"/>
          <w:lang w:val="en-US"/>
        </w:rPr>
        <w:t xml:space="preserve">Penal Law § 120.60(1)</w:t>
        <w:br/>
      </w:r>
      <w:r>
        <w:rPr>
          <w:rFonts w:ascii="Arial" w:hAnsi="Arial" w:eastAsia="Arial"/>
          <w:b w:val="true"/>
          <w:strike w:val="false"/>
          <w:color w:val="000000"/>
          <w:spacing w:val="0"/>
          <w:w w:val="100"/>
          <w:sz w:val="28"/>
          <w:vertAlign w:val="baseline"/>
          <w:lang w:val="en-US"/>
        </w:rPr>
        <w:t xml:space="preserve">(Committed on or after Dec. 1, 1999)</w:t>
        <w:br/>
      </w:r>
      <w:r>
        <w:rPr>
          <w:rFonts w:ascii="Arial" w:hAnsi="Arial" w:eastAsia="Arial"/>
          <w:b w:val="true"/>
          <w:strike w:val="false"/>
          <w:color w:val="000000"/>
          <w:spacing w:val="0"/>
          <w:w w:val="100"/>
          <w:sz w:val="28"/>
          <w:vertAlign w:val="baseline"/>
          <w:lang w:val="en-US"/>
        </w:rPr>
        <w:t xml:space="preserve">(Revised Dec. 6, 2003)</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661" w:after="0" w:line="322"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Stalking in the First Degree.</w:t>
      </w:r>
    </w:p>
    <w:p>
      <w:pPr>
        <w:pageBreakBefore w:val="false"/>
        <w:spacing w:before="314"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Stalking in the First Degree when he or she,</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28"/>
          <w:vertAlign w:val="baseline"/>
          <w:lang w:val="en-US"/>
        </w:rPr>
        <w:t xml:space="preserve"> with intent to harass, annoy or alarm a specific person, intentionally engages in a course of conduct directed at such person which is likely to cause such person to reasonably fear</w:t>
      </w:r>
    </w:p>
    <w:p>
      <w:pPr>
        <w:pageBreakBefore w:val="false"/>
        <w:spacing w:before="326" w:after="0" w:line="320" w:lineRule="exact"/>
        <w:ind w:right="0" w:left="720" w:firstLine="0"/>
        <w:jc w:val="left"/>
        <w:textAlignment w:val="baseline"/>
        <w:rPr>
          <w:rFonts w:ascii="Arial" w:hAnsi="Arial" w:eastAsia="Arial"/>
          <w:i w:val="true"/>
          <w:strike w:val="false"/>
          <w:color w:val="000000"/>
          <w:spacing w:val="0"/>
          <w:w w:val="100"/>
          <w:sz w:val="28"/>
          <w:u w:val="single"/>
          <w:vertAlign w:val="baseline"/>
          <w:lang w:val="en-US"/>
        </w:rPr>
      </w:pPr>
      <w:r>
        <w:rPr>
          <w:rFonts w:ascii="Arial" w:hAnsi="Arial" w:eastAsia="Arial"/>
          <w:i w:val="true"/>
          <w:strike w:val="false"/>
          <w:color w:val="000000"/>
          <w:spacing w:val="0"/>
          <w:w w:val="100"/>
          <w:sz w:val="28"/>
          <w:u w:val="single"/>
          <w:vertAlign w:val="baseline"/>
          <w:lang w:val="en-US"/>
        </w:rPr>
        <w:t xml:space="preserve">Select appropriate alternative(s):</w:t>
      </w:r>
    </w:p>
    <w:p>
      <w:pPr>
        <w:pageBreakBefore w:val="false"/>
        <w:spacing w:before="325" w:after="0" w:line="317" w:lineRule="exact"/>
        <w:ind w:right="0" w:left="720" w:firstLine="0"/>
        <w:jc w:val="lef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physical injury [or serious physical injury</w:t>
      </w:r>
      <w:r>
        <w:rPr>
          <w:rFonts w:ascii="Arial" w:hAnsi="Arial" w:eastAsia="Arial"/>
          <w:strike w:val="false"/>
          <w:color w:val="000000"/>
          <w:spacing w:val="-1"/>
          <w:w w:val="100"/>
          <w:sz w:val="28"/>
          <w:vertAlign w:val="superscript"/>
          <w:lang w:val="en-US"/>
        </w:rPr>
        <w:t xml:space="preserve">3</w:t>
      </w:r>
      <w:r>
        <w:rPr>
          <w:rFonts w:ascii="Arial" w:hAnsi="Arial" w:eastAsia="Arial"/>
          <w:strike w:val="false"/>
          <w:color w:val="000000"/>
          <w:spacing w:val="-1"/>
          <w:w w:val="100"/>
          <w:sz w:val="28"/>
          <w:vertAlign w:val="baseline"/>
          <w:lang w:val="en-US"/>
        </w:rPr>
        <w:t xml:space="preserve">], [or]</w:t>
      </w:r>
    </w:p>
    <w:p>
      <w:pPr>
        <w:pageBreakBefore w:val="false"/>
        <w:spacing w:before="8" w:after="0" w:line="317"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commission of a sex offense against, [or]</w:t>
      </w:r>
    </w:p>
    <w:p>
      <w:pPr>
        <w:pageBreakBefore w:val="false"/>
        <w:spacing w:before="9" w:after="0" w:line="317"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kidnapping, [or]</w:t>
      </w:r>
    </w:p>
    <w:p>
      <w:pPr>
        <w:pageBreakBefore w:val="false"/>
        <w:spacing w:before="10" w:after="0" w:line="317"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unlawful imprisonment, or</w:t>
      </w:r>
    </w:p>
    <w:p>
      <w:pPr>
        <w:pageBreakBefore w:val="false"/>
        <w:spacing w:before="4" w:after="0" w:line="317" w:lineRule="exact"/>
        <w:ind w:right="0" w:left="720" w:firstLine="0"/>
        <w:jc w:val="left"/>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death</w:t>
      </w:r>
    </w:p>
    <w:p>
      <w:pPr>
        <w:pageBreakBefore w:val="false"/>
        <w:spacing w:before="324" w:after="0" w:line="324" w:lineRule="exact"/>
        <w:ind w:right="0" w:left="0" w:firstLine="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of such person or a member of such person’s immediate family, and, in the course and furtherance thereof, he or she intentionally or recklessly causes physical injury to such person.</w:t>
      </w:r>
    </w:p>
    <w:p>
      <w:pPr>
        <w:pageBreakBefore w:val="false"/>
        <w:spacing w:before="331" w:after="236" w:line="317"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w:t>
      </w:r>
    </w:p>
    <w:p>
      <w:pPr>
        <w:pageBreakBefore w:val="false"/>
        <w:spacing w:before="259" w:after="0" w:line="277" w:lineRule="exact"/>
        <w:ind w:right="72" w:left="0" w:firstLine="288"/>
        <w:jc w:val="both"/>
        <w:textAlignment w:val="baseline"/>
        <w:rPr>
          <w:rFonts w:ascii="Arial" w:hAnsi="Arial" w:eastAsia="Arial"/>
          <w:strike w:val="false"/>
          <w:color w:val="000000"/>
          <w:spacing w:val="0"/>
          <w:w w:val="100"/>
          <w:sz w:val="14"/>
          <w:vertAlign w:val="superscript"/>
          <w:lang w:val="en-US"/>
        </w:rPr>
      </w:pPr>
      <w:r>
        <w:pict>
          <v:line strokeweight="0.95pt" strokecolor="#000000" from="108pt,522.5pt" to="252.05pt,522.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This charge was revised to reflect the decision in </w:t>
      </w:r>
      <w:r>
        <w:rPr>
          <w:rFonts w:ascii="Arial" w:hAnsi="Arial" w:eastAsia="Arial"/>
          <w:i w:val="true"/>
          <w:strike w:val="false"/>
          <w:color w:val="000000"/>
          <w:spacing w:val="0"/>
          <w:w w:val="100"/>
          <w:sz w:val="24"/>
          <w:vertAlign w:val="baseline"/>
          <w:lang w:val="en-US"/>
        </w:rPr>
        <w:t xml:space="preserve">People v. Stuart</w:t>
      </w:r>
      <w:r>
        <w:rPr>
          <w:rFonts w:ascii="Arial" w:hAnsi="Arial" w:eastAsia="Arial"/>
          <w:strike w:val="false"/>
          <w:color w:val="000000"/>
          <w:spacing w:val="0"/>
          <w:w w:val="100"/>
          <w:sz w:val="24"/>
          <w:vertAlign w:val="baseline"/>
          <w:lang w:val="en-US"/>
        </w:rPr>
        <w:t xml:space="preserve">,100 NY2d 412 (2003).</w:t>
      </w:r>
    </w:p>
    <w:p>
      <w:pPr>
        <w:pageBreakBefore w:val="false"/>
        <w:spacing w:before="232" w:after="0" w:line="277" w:lineRule="exact"/>
        <w:ind w:right="0" w:left="0" w:firstLine="288"/>
        <w:jc w:val="both"/>
        <w:textAlignment w:val="baseline"/>
        <w:rPr>
          <w:rFonts w:ascii="Arial" w:hAnsi="Arial" w:eastAsia="Arial"/>
          <w:strike w:val="false"/>
          <w:color w:val="000000"/>
          <w:spacing w:val="-3"/>
          <w:w w:val="100"/>
          <w:sz w:val="14"/>
          <w:vertAlign w:val="superscript"/>
          <w:lang w:val="en-US"/>
        </w:rPr>
      </w:pPr>
      <w:r>
        <w:rPr>
          <w:rFonts w:ascii="Arial" w:hAnsi="Arial" w:eastAsia="Arial"/>
          <w:strike w:val="false"/>
          <w:color w:val="000000"/>
          <w:spacing w:val="-3"/>
          <w:w w:val="100"/>
          <w:sz w:val="14"/>
          <w:vertAlign w:val="superscript"/>
          <w:lang w:val="en-US"/>
        </w:rPr>
        <w:t xml:space="preserve">2</w:t>
      </w:r>
      <w:r>
        <w:rPr>
          <w:rFonts w:ascii="Arial" w:hAnsi="Arial" w:eastAsia="Arial"/>
          <w:strike w:val="false"/>
          <w:color w:val="000000"/>
          <w:spacing w:val="-3"/>
          <w:w w:val="100"/>
          <w:sz w:val="24"/>
          <w:vertAlign w:val="baseline"/>
          <w:lang w:val="en-US"/>
        </w:rPr>
        <w:t xml:space="preserve"> At this point, the statute states: “commits the crime of stalking in the third degree as defined in subdivision three of section 120.50 or stalking in the second degree as defined in section 120.55 of this article....” The charge here substitutes only the language of Penal Law § 120.50(3). No charge is prepared where the predicate element is stalking in the second degree as defined in Penal Law § 120.55. If such crime is the predicate element, this instruction may be adapted to include the appropriate subdivision of stalking in the second degree as defined in Penal Law § 120.55.</w:t>
      </w:r>
    </w:p>
    <w:p>
      <w:pPr>
        <w:pageBreakBefore w:val="false"/>
        <w:spacing w:before="234" w:after="0" w:line="277" w:lineRule="exact"/>
        <w:ind w:right="144" w:left="0" w:firstLine="288"/>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"Serious physical injury" is defined to include "physical injury." Penal Law § 10.10(9). Thus, there is no need to charge “serious physical injury” because only physical injury is required.</w:t>
      </w:r>
    </w:p>
    <w:p>
      <w:pPr>
        <w:sectPr>
          <w:type w:val="nextPage"/>
          <w:pgSz w:w="12240" w:h="15840" w:orient="portrait"/>
          <w:pgMar w:bottom="664" w:top="1080" w:right="2140" w:left="2160" w:header="720" w:footer="720"/>
          <w:titlePg w:val="false"/>
          <w:textDirection w:val="lrTb"/>
        </w:sectPr>
      </w:pPr>
    </w:p>
    <w:p>
      <w:pPr>
        <w:pageBreakBefore w:val="false"/>
        <w:spacing w:before="38" w:after="0" w:line="324" w:lineRule="exact"/>
        <w:ind w:right="0" w:left="0" w:firstLine="0"/>
        <w:jc w:val="left"/>
        <w:textAlignment w:val="baseline"/>
        <w:rPr>
          <w:rFonts w:ascii="Arial" w:hAnsi="Arial" w:eastAsia="Arial"/>
          <w:strike w:val="false"/>
          <w:color w:val="000000"/>
          <w:spacing w:val="-6"/>
          <w:w w:val="100"/>
          <w:sz w:val="28"/>
          <w:vertAlign w:val="baseline"/>
          <w:lang w:val="en-US"/>
        </w:rPr>
      </w:pPr>
      <w:r>
        <w:rPr>
          <w:rFonts w:ascii="Arial" w:hAnsi="Arial" w:eastAsia="Arial"/>
          <w:strike w:val="false"/>
          <w:color w:val="000000"/>
          <w:spacing w:val="-6"/>
          <w:w w:val="100"/>
          <w:sz w:val="28"/>
          <w:vertAlign w:val="baseline"/>
          <w:lang w:val="en-US"/>
        </w:rPr>
        <w:t xml:space="preserve">meaning: </w:t>
      </w:r>
      <w:r>
        <w:rPr>
          <w:rFonts w:ascii="Arial" w:hAnsi="Arial" w:eastAsia="Arial"/>
          <w:strike w:val="false"/>
          <w:color w:val="000000"/>
          <w:spacing w:val="-6"/>
          <w:w w:val="100"/>
          <w:sz w:val="28"/>
          <w:vertAlign w:val="superscript"/>
          <w:lang w:val="en-US"/>
        </w:rPr>
        <w:t xml:space="preserve">4</w:t>
      </w:r>
      <w:r>
        <w:rPr>
          <w:rFonts w:ascii="Arial" w:hAnsi="Arial" w:eastAsia="Arial"/>
          <w:strike w:val="false"/>
          <w:color w:val="000000"/>
          <w:spacing w:val="-6"/>
          <w:w w:val="100"/>
          <w:sz w:val="17"/>
          <w:vertAlign w:val="baseline"/>
          <w:lang w:val="en-US"/>
        </w:rPr>
        <w:t xml:space="preserve">
</w:t>
      </w:r>
    </w:p>
    <w:p>
      <w:pPr>
        <w:pageBreakBefore w:val="false"/>
        <w:spacing w:before="321"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 Thus, a person acts with intent to harass, annoy or alarm a specific person when his or her conscious objective or purpose is to do so.</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28"/>
          <w:vertAlign w:val="baseline"/>
          <w:lang w:val="en-US"/>
        </w:rPr>
        <w:t xml:space="preserve"> And, a person INTENTIONALLY engages in a course of conduct directed at a specific person, or intentionally causes physical injury to a person when his or her conscious objective or purpose is to do so.</w:t>
      </w:r>
      <w:r>
        <w:rPr>
          <w:rFonts w:ascii="Arial" w:hAnsi="Arial" w:eastAsia="Arial"/>
          <w:strike w:val="false"/>
          <w:color w:val="000000"/>
          <w:spacing w:val="0"/>
          <w:w w:val="100"/>
          <w:sz w:val="28"/>
          <w:vertAlign w:val="superscript"/>
          <w:lang w:val="en-US"/>
        </w:rPr>
        <w:t xml:space="preserve">6</w:t>
      </w:r>
      <w:r>
        <w:rPr>
          <w:rFonts w:ascii="Arial" w:hAnsi="Arial" w:eastAsia="Arial"/>
          <w:strike w:val="false"/>
          <w:color w:val="000000"/>
          <w:spacing w:val="0"/>
          <w:w w:val="100"/>
          <w:sz w:val="17"/>
          <w:vertAlign w:val="baseline"/>
          <w:lang w:val="en-US"/>
        </w:rPr>
        <w:t xml:space="preserve">
</w:t>
      </w:r>
    </w:p>
    <w:p>
      <w:pPr>
        <w:pageBreakBefore w:val="false"/>
        <w:spacing w:before="33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acts RECKLESSLY with respect to physical injury when that person:</w:t>
      </w:r>
    </w:p>
    <w:p>
      <w:pPr>
        <w:pageBreakBefore w:val="false"/>
        <w:spacing w:before="324" w:after="0" w:line="324"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engages in conduct which creates or contributes to a substantial and unjustifiable risk that physical injury to another person will occur,</w:t>
      </w:r>
    </w:p>
    <w:p>
      <w:pPr>
        <w:pageBreakBefore w:val="false"/>
        <w:spacing w:before="321" w:after="336" w:line="324"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and when he or she is aware of and consciously disregards that risk,</w:t>
      </w:r>
    </w:p>
    <w:p>
      <w:pPr>
        <w:pageBreakBefore w:val="false"/>
        <w:tabs>
          <w:tab w:val="left" w:leader="none" w:pos="720"/>
        </w:tabs>
        <w:spacing w:before="245" w:after="0" w:line="278" w:lineRule="exact"/>
        <w:ind w:right="0" w:left="0" w:firstLine="288"/>
        <w:jc w:val="left"/>
        <w:textAlignment w:val="baseline"/>
        <w:rPr>
          <w:rFonts w:ascii="Arial" w:hAnsi="Arial" w:eastAsia="Arial"/>
          <w:strike w:val="false"/>
          <w:color w:val="000000"/>
          <w:spacing w:val="0"/>
          <w:w w:val="100"/>
          <w:sz w:val="14"/>
          <w:vertAlign w:val="superscript"/>
          <w:lang w:val="en-US"/>
        </w:rPr>
      </w:pPr>
      <w:r>
        <w:pict>
          <v:line strokeweight="0.95pt" strokecolor="#000000" from="107.85pt,397.9pt" to="252.05pt,397.9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4</w:t>
      </w:r>
      <w:r>
        <w:rPr>
          <w:rFonts w:ascii="Arial" w:hAnsi="Arial" w:eastAsia="Arial"/>
          <w:strike w:val="false"/>
          <w:color w:val="000000"/>
          <w:spacing w:val="0"/>
          <w:w w:val="100"/>
          <w:sz w:val="24"/>
          <w:vertAlign w:val="baseline"/>
          <w:lang w:val="en-US"/>
        </w:rPr>
        <w:tab/>
      </w:r>
      <w:r>
        <w:rPr>
          <w:rFonts w:ascii="Arial" w:hAnsi="Arial" w:eastAsia="Arial"/>
          <w:strike w:val="false"/>
          <w:color w:val="000000"/>
          <w:spacing w:val="0"/>
          <w:w w:val="100"/>
          <w:sz w:val="24"/>
          <w:vertAlign w:val="baseline"/>
          <w:lang w:val="en-US"/>
        </w:rPr>
        <w:t xml:space="preserve">If in issue, the definition of the following term or terms may be charged: "sex offense” [Penal Law § 120.40(3)], "kidnapping” [Penal Law § 120.40(1)], or "unlawful imprisonment” [Penal Law § 120.40(2)].</w:t>
      </w:r>
    </w:p>
    <w:p>
      <w:pPr>
        <w:pageBreakBefore w:val="false"/>
        <w:spacing w:before="278" w:after="0" w:line="278" w:lineRule="exact"/>
        <w:ind w:right="0" w:left="0" w:firstLine="72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There is no statutory definition of the term "course of conduct." </w:t>
      </w:r>
      <w:r>
        <w:rPr>
          <w:rFonts w:ascii="Arial" w:hAnsi="Arial" w:eastAsia="Arial"/>
          <w:i w:val="true"/>
          <w:strike w:val="false"/>
          <w:color w:val="000000"/>
          <w:spacing w:val="0"/>
          <w:w w:val="100"/>
          <w:sz w:val="24"/>
          <w:vertAlign w:val="baseline"/>
          <w:lang w:val="en-US"/>
        </w:rPr>
        <w:t xml:space="preserve">People v Dickson</w:t>
      </w:r>
      <w:r>
        <w:rPr>
          <w:rFonts w:ascii="Arial" w:hAnsi="Arial" w:eastAsia="Arial"/>
          <w:strike w:val="false"/>
          <w:color w:val="000000"/>
          <w:spacing w:val="0"/>
          <w:w w:val="100"/>
          <w:sz w:val="24"/>
          <w:vertAlign w:val="baseline"/>
          <w:lang w:val="en-US"/>
        </w:rPr>
        <w:t xml:space="preserve">, 82 AD3d 1289, 1291 (3d Dept. 2011) held that it was not error to decline to define the term. </w:t>
      </w:r>
      <w:r>
        <w:rPr>
          <w:rFonts w:ascii="Arial" w:hAnsi="Arial" w:eastAsia="Arial"/>
          <w:i w:val="true"/>
          <w:strike w:val="false"/>
          <w:color w:val="000000"/>
          <w:spacing w:val="0"/>
          <w:w w:val="100"/>
          <w:sz w:val="24"/>
          <w:vertAlign w:val="baseline"/>
          <w:lang w:val="en-US"/>
        </w:rPr>
        <w:t xml:space="preserve">People v. Ubbink</w:t>
      </w:r>
      <w:r>
        <w:rPr>
          <w:rFonts w:ascii="Arial" w:hAnsi="Arial" w:eastAsia="Arial"/>
          <w:strike w:val="false"/>
          <w:color w:val="000000"/>
          <w:spacing w:val="0"/>
          <w:w w:val="100"/>
          <w:sz w:val="24"/>
          <w:vertAlign w:val="baseline"/>
          <w:lang w:val="en-US"/>
        </w:rPr>
        <w:t xml:space="preserve">, 120 AD3d 1574, 1575-76 (4th Dept. 2014), noted that "course of conduct" has been defined as "a series of acts ‘evidencing a continuity of purpose'" (quoting </w:t>
      </w:r>
      <w:r>
        <w:rPr>
          <w:rFonts w:ascii="Arial" w:hAnsi="Arial" w:eastAsia="Arial"/>
          <w:i w:val="true"/>
          <w:strike w:val="false"/>
          <w:color w:val="000000"/>
          <w:spacing w:val="0"/>
          <w:w w:val="100"/>
          <w:sz w:val="24"/>
          <w:vertAlign w:val="baseline"/>
          <w:lang w:val="en-US"/>
        </w:rPr>
        <w:t xml:space="preserve">People v Payton</w:t>
      </w:r>
      <w:r>
        <w:rPr>
          <w:rFonts w:ascii="Arial" w:hAnsi="Arial" w:eastAsia="Arial"/>
          <w:strike w:val="false"/>
          <w:color w:val="000000"/>
          <w:spacing w:val="0"/>
          <w:w w:val="100"/>
          <w:sz w:val="24"/>
          <w:vertAlign w:val="baseline"/>
          <w:lang w:val="en-US"/>
        </w:rPr>
        <w:t xml:space="preserve">, 161 Misc 2d 170, 174 (Crim Ct., Kings County, 1994). </w:t>
      </w:r>
      <w:r>
        <w:rPr>
          <w:rFonts w:ascii="Arial" w:hAnsi="Arial" w:eastAsia="Arial"/>
          <w:i w:val="true"/>
          <w:strike w:val="false"/>
          <w:color w:val="000000"/>
          <w:spacing w:val="0"/>
          <w:w w:val="100"/>
          <w:sz w:val="24"/>
          <w:vertAlign w:val="baseline"/>
          <w:lang w:val="en-US"/>
        </w:rPr>
        <w:t xml:space="preserve">See also People v Murray</w:t>
      </w:r>
      <w:r>
        <w:rPr>
          <w:rFonts w:ascii="Arial" w:hAnsi="Arial" w:eastAsia="Arial"/>
          <w:strike w:val="false"/>
          <w:color w:val="000000"/>
          <w:spacing w:val="0"/>
          <w:w w:val="100"/>
          <w:sz w:val="24"/>
          <w:vertAlign w:val="baseline"/>
          <w:lang w:val="en-US"/>
        </w:rPr>
        <w:t xml:space="preserve">, 167 Misc2d 857 (Crim. Ct., N.Y. County, 1995); </w:t>
      </w:r>
      <w:r>
        <w:rPr>
          <w:rFonts w:ascii="Arial" w:hAnsi="Arial" w:eastAsia="Arial"/>
          <w:i w:val="true"/>
          <w:strike w:val="false"/>
          <w:color w:val="000000"/>
          <w:spacing w:val="0"/>
          <w:w w:val="100"/>
          <w:sz w:val="24"/>
          <w:vertAlign w:val="baseline"/>
          <w:lang w:val="en-US"/>
        </w:rPr>
        <w:t xml:space="preserve">People v Monroe</w:t>
      </w:r>
      <w:r>
        <w:rPr>
          <w:rFonts w:ascii="Arial" w:hAnsi="Arial" w:eastAsia="Arial"/>
          <w:strike w:val="false"/>
          <w:color w:val="000000"/>
          <w:spacing w:val="0"/>
          <w:w w:val="100"/>
          <w:sz w:val="24"/>
          <w:vertAlign w:val="baseline"/>
          <w:lang w:val="en-US"/>
        </w:rPr>
        <w:t xml:space="preserve">, 183 Misc2d 374 (Crim. Ct., N.Y. County, 2000). For an example of facts constituting a "course of conduct" </w:t>
      </w:r>
      <w:r>
        <w:rPr>
          <w:rFonts w:ascii="Arial" w:hAnsi="Arial" w:eastAsia="Arial"/>
          <w:i w:val="true"/>
          <w:strike w:val="false"/>
          <w:color w:val="000000"/>
          <w:spacing w:val="0"/>
          <w:w w:val="100"/>
          <w:sz w:val="24"/>
          <w:vertAlign w:val="baseline"/>
          <w:lang w:val="en-US"/>
        </w:rPr>
        <w:t xml:space="preserve">see People v Stuart</w:t>
      </w:r>
      <w:r>
        <w:rPr>
          <w:rFonts w:ascii="Arial" w:hAnsi="Arial" w:eastAsia="Arial"/>
          <w:strike w:val="false"/>
          <w:color w:val="000000"/>
          <w:spacing w:val="0"/>
          <w:w w:val="100"/>
          <w:sz w:val="24"/>
          <w:vertAlign w:val="baseline"/>
          <w:lang w:val="en-US"/>
        </w:rPr>
        <w:t xml:space="preserve">, 100 NY2d 412 (2003).</w:t>
      </w:r>
    </w:p>
    <w:p>
      <w:pPr>
        <w:pageBreakBefore w:val="false"/>
        <w:spacing w:before="270" w:after="0" w:line="278" w:lineRule="exact"/>
        <w:ind w:right="0" w:left="0" w:firstLine="72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With respect to "reasonable fear," the court in </w:t>
      </w:r>
      <w:r>
        <w:rPr>
          <w:rFonts w:ascii="Arial" w:hAnsi="Arial" w:eastAsia="Arial"/>
          <w:i w:val="true"/>
          <w:strike w:val="false"/>
          <w:color w:val="000000"/>
          <w:spacing w:val="0"/>
          <w:w w:val="100"/>
          <w:sz w:val="24"/>
          <w:vertAlign w:val="baseline"/>
          <w:lang w:val="en-US"/>
        </w:rPr>
        <w:t xml:space="preserve">Stuart </w:t>
      </w:r>
      <w:r>
        <w:rPr>
          <w:rFonts w:ascii="Arial" w:hAnsi="Arial" w:eastAsia="Arial"/>
          <w:strike w:val="false"/>
          <w:color w:val="000000"/>
          <w:spacing w:val="0"/>
          <w:w w:val="100"/>
          <w:sz w:val="24"/>
          <w:vertAlign w:val="baseline"/>
          <w:lang w:val="en-US"/>
        </w:rPr>
        <w:t xml:space="preserve">wrote: "the fear must be reasonable and not idiosyncratic; the harm (or likely harm) must be material."</w:t>
      </w:r>
    </w:p>
    <w:p>
      <w:pPr>
        <w:pageBreakBefore w:val="false"/>
        <w:spacing w:before="238" w:after="0" w:line="278" w:lineRule="exact"/>
        <w:ind w:right="0" w:left="288"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5</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15.05(1).</w:t>
      </w:r>
    </w:p>
    <w:p>
      <w:pPr>
        <w:pageBreakBefore w:val="false"/>
        <w:spacing w:before="240" w:after="250" w:line="278" w:lineRule="exact"/>
        <w:ind w:right="0" w:left="288"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6</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15.05(1).</w:t>
      </w:r>
    </w:p>
    <w:p>
      <w:pPr>
        <w:pageBreakBefore w:val="false"/>
        <w:spacing w:before="2" w:after="0" w:line="297" w:lineRule="exact"/>
        <w:ind w:right="0" w:left="0" w:firstLine="0"/>
        <w:jc w:val="center"/>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2</w:t>
      </w:r>
    </w:p>
    <w:p>
      <w:pPr>
        <w:sectPr>
          <w:type w:val="nextPage"/>
          <w:pgSz w:w="12240" w:h="15840" w:orient="portrait"/>
          <w:pgMar w:bottom="664" w:top="1400" w:right="2143" w:left="2157" w:header="720" w:footer="720"/>
          <w:titlePg w:val="false"/>
          <w:textDirection w:val="lrTb"/>
        </w:sectPr>
      </w:pPr>
    </w:p>
    <w:p>
      <w:pPr>
        <w:pageBreakBefore w:val="false"/>
        <w:spacing w:before="4" w:after="0" w:line="323"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and when that risk is of such nature and degree that disregard of it constitutes a gross deviation from the standard of conduct that a reasonable person would observe in the situation. </w:t>
      </w:r>
      <w:r>
        <w:rPr>
          <w:rFonts w:ascii="Arial" w:hAnsi="Arial" w:eastAsia="Arial"/>
          <w:strike w:val="false"/>
          <w:color w:val="000000"/>
          <w:spacing w:val="0"/>
          <w:w w:val="100"/>
          <w:sz w:val="28"/>
          <w:vertAlign w:val="superscript"/>
          <w:lang w:val="en-US"/>
        </w:rPr>
        <w:t xml:space="preserve">7</w:t>
      </w:r>
      <w:r>
        <w:rPr>
          <w:rFonts w:ascii="Arial" w:hAnsi="Arial" w:eastAsia="Arial"/>
          <w:strike w:val="false"/>
          <w:color w:val="000000"/>
          <w:spacing w:val="0"/>
          <w:w w:val="100"/>
          <w:sz w:val="17"/>
          <w:vertAlign w:val="baseline"/>
          <w:lang w:val="en-US"/>
        </w:rPr>
        <w:t xml:space="preserve">
</w:t>
      </w:r>
    </w:p>
    <w:p>
      <w:pPr>
        <w:pageBreakBefore w:val="false"/>
        <w:spacing w:before="328" w:after="0" w:line="326"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NOTE: Where there is evidence of voluntary intoxication on the part of the defendant, add</w:t>
      </w:r>
      <w:r>
        <w:rPr>
          <w:rFonts w:ascii="Arial" w:hAnsi="Arial" w:eastAsia="Arial"/>
          <w:strike w:val="false"/>
          <w:color w:val="000000"/>
          <w:spacing w:val="0"/>
          <w:w w:val="100"/>
          <w:sz w:val="28"/>
          <w:vertAlign w:val="baseline"/>
          <w:lang w:val="en-US"/>
        </w:rPr>
        <w:t xml:space="preserve">:</w:t>
      </w:r>
    </w:p>
    <w:p>
      <w:pPr>
        <w:pageBreakBefore w:val="false"/>
        <w:spacing w:before="0" w:after="0" w:line="322" w:lineRule="exact"/>
        <w:ind w:right="0" w:left="72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also acts recklessly when he or she creates such a risk but is unaware of that risk solely by reason of his or her voluntary intoxication.</w:t>
      </w:r>
      <w:r>
        <w:rPr>
          <w:rFonts w:ascii="Arial" w:hAnsi="Arial" w:eastAsia="Arial"/>
          <w:strike w:val="false"/>
          <w:color w:val="000000"/>
          <w:spacing w:val="0"/>
          <w:w w:val="100"/>
          <w:sz w:val="28"/>
          <w:vertAlign w:val="superscript"/>
          <w:lang w:val="en-US"/>
        </w:rPr>
        <w:t xml:space="preserve">8</w:t>
      </w:r>
      <w:r>
        <w:rPr>
          <w:rFonts w:ascii="Arial" w:hAnsi="Arial" w:eastAsia="Arial"/>
          <w:strike w:val="false"/>
          <w:color w:val="000000"/>
          <w:spacing w:val="0"/>
          <w:w w:val="100"/>
          <w:sz w:val="28"/>
          <w:vertAlign w:val="baseline"/>
          <w:lang w:val="en-US"/>
        </w:rPr>
        <w:t xml:space="preserve">]</w:t>
      </w:r>
    </w:p>
    <w:p>
      <w:pPr>
        <w:pageBreakBefore w:val="false"/>
        <w:spacing w:before="333" w:after="0" w:line="319"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PHYSICAL INJURY means impairment of physical condition or substantial pain.</w:t>
      </w:r>
      <w:r>
        <w:rPr>
          <w:rFonts w:ascii="Arial" w:hAnsi="Arial" w:eastAsia="Arial"/>
          <w:strike w:val="false"/>
          <w:color w:val="000000"/>
          <w:spacing w:val="0"/>
          <w:w w:val="100"/>
          <w:sz w:val="28"/>
          <w:vertAlign w:val="superscript"/>
          <w:lang w:val="en-US"/>
        </w:rPr>
        <w:t xml:space="preserve">9</w:t>
      </w:r>
      <w:r>
        <w:rPr>
          <w:rFonts w:ascii="Arial" w:hAnsi="Arial" w:eastAsia="Arial"/>
          <w:strike w:val="false"/>
          <w:color w:val="000000"/>
          <w:spacing w:val="0"/>
          <w:w w:val="100"/>
          <w:sz w:val="17"/>
          <w:vertAlign w:val="baseline"/>
          <w:lang w:val="en-US"/>
        </w:rPr>
        <w:t xml:space="preserve">
</w:t>
      </w:r>
    </w:p>
    <w:p>
      <w:pPr>
        <w:pageBreakBefore w:val="false"/>
        <w:spacing w:before="328"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IMMEDIATE FAMILY means the spouse, former spouse, parent, child, sibling, or any other person who regularly resides or has regularly resided in the household of a person.</w:t>
      </w:r>
      <w:r>
        <w:rPr>
          <w:rFonts w:ascii="Arial" w:hAnsi="Arial" w:eastAsia="Arial"/>
          <w:strike w:val="false"/>
          <w:color w:val="000000"/>
          <w:spacing w:val="0"/>
          <w:w w:val="100"/>
          <w:sz w:val="28"/>
          <w:vertAlign w:val="superscript"/>
          <w:lang w:val="en-US"/>
        </w:rPr>
        <w:t xml:space="preserve">10</w:t>
      </w:r>
      <w:r>
        <w:rPr>
          <w:rFonts w:ascii="Arial" w:hAnsi="Arial" w:eastAsia="Arial"/>
          <w:strike w:val="false"/>
          <w:color w:val="000000"/>
          <w:spacing w:val="0"/>
          <w:w w:val="100"/>
          <w:sz w:val="17"/>
          <w:vertAlign w:val="baseline"/>
          <w:lang w:val="en-US"/>
        </w:rPr>
        <w:t xml:space="preserve">
</w:t>
      </w:r>
    </w:p>
    <w:p>
      <w:pPr>
        <w:pageBreakBefore w:val="false"/>
        <w:spacing w:before="325"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this case, beyond a reasonable doubt, each of the following four elements:</w:t>
      </w:r>
    </w:p>
    <w:p>
      <w:pPr>
        <w:pageBreakBefore w:val="false"/>
        <w:numPr>
          <w:ilvl w:val="0"/>
          <w:numId w:val="1"/>
        </w:numPr>
        <w:tabs>
          <w:tab w:val="clear" w:pos="720"/>
          <w:tab w:val="left" w:pos="1440"/>
        </w:tabs>
        <w:spacing w:before="333" w:after="0" w:line="321" w:lineRule="exact"/>
        <w:ind w:right="0" w:left="1440" w:hanging="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That on or about [and between] </w:t>
      </w:r>
      <w:r>
        <w:rPr>
          <w:rFonts w:ascii="Arial" w:hAnsi="Arial" w:eastAsia="Arial"/>
          <w:strike w:val="false"/>
          <w:color w:val="000000"/>
          <w:spacing w:val="-5"/>
          <w:w w:val="100"/>
          <w:sz w:val="28"/>
          <w:u w:val="single"/>
          <w:vertAlign w:val="baseline"/>
          <w:lang w:val="en-US"/>
        </w:rPr>
        <w:t xml:space="preserve">(</w:t>
      </w:r>
      <w:r>
        <w:rPr>
          <w:rFonts w:ascii="Arial" w:hAnsi="Arial" w:eastAsia="Arial"/>
          <w:i w:val="true"/>
          <w:strike w:val="false"/>
          <w:color w:val="000000"/>
          <w:spacing w:val="-5"/>
          <w:w w:val="100"/>
          <w:sz w:val="28"/>
          <w:u w:val="single"/>
          <w:vertAlign w:val="baseline"/>
          <w:lang w:val="en-US"/>
        </w:rPr>
        <w:t xml:space="preserve">date[s]</w:t>
      </w:r>
      <w:r>
        <w:rPr>
          <w:rFonts w:ascii="Arial" w:hAnsi="Arial" w:eastAsia="Arial"/>
          <w:strike w:val="false"/>
          <w:color w:val="000000"/>
          <w:spacing w:val="-5"/>
          <w:w w:val="100"/>
          <w:sz w:val="28"/>
          <w:u w:val="single"/>
          <w:vertAlign w:val="baseline"/>
          <w:lang w:val="en-US"/>
        </w:rPr>
        <w:t xml:space="preserve">),</w:t>
      </w:r>
      <w:r>
        <w:rPr>
          <w:rFonts w:ascii="Arial" w:hAnsi="Arial" w:eastAsia="Arial"/>
          <w:strike w:val="false"/>
          <w:color w:val="000000"/>
          <w:spacing w:val="-5"/>
          <w:w w:val="100"/>
          <w:sz w:val="28"/>
          <w:vertAlign w:val="baseline"/>
          <w:lang w:val="en-US"/>
        </w:rPr>
        <w:t xml:space="preserve"> in the County of </w:t>
      </w:r>
      <w:r>
        <w:rPr>
          <w:rFonts w:ascii="Arial" w:hAnsi="Arial" w:eastAsia="Arial"/>
          <w:strike w:val="false"/>
          <w:color w:val="000000"/>
          <w:spacing w:val="-5"/>
          <w:w w:val="100"/>
          <w:sz w:val="28"/>
          <w:u w:val="single"/>
          <w:vertAlign w:val="baseline"/>
          <w:lang w:val="en-US"/>
        </w:rPr>
        <w:t xml:space="preserve">(</w:t>
      </w:r>
      <w:r>
        <w:rPr>
          <w:rFonts w:ascii="Arial" w:hAnsi="Arial" w:eastAsia="Arial"/>
          <w:i w:val="true"/>
          <w:strike w:val="false"/>
          <w:color w:val="000000"/>
          <w:spacing w:val="-5"/>
          <w:w w:val="100"/>
          <w:sz w:val="28"/>
          <w:u w:val="single"/>
          <w:vertAlign w:val="baseline"/>
          <w:lang w:val="en-US"/>
        </w:rPr>
        <w:t xml:space="preserve">County</w:t>
      </w:r>
      <w:r>
        <w:rPr>
          <w:rFonts w:ascii="Arial" w:hAnsi="Arial" w:eastAsia="Arial"/>
          <w:strike w:val="false"/>
          <w:color w:val="000000"/>
          <w:spacing w:val="-5"/>
          <w:w w:val="100"/>
          <w:sz w:val="28"/>
          <w:u w:val="single"/>
          <w:vertAlign w:val="baseline"/>
          <w:lang w:val="en-US"/>
        </w:rPr>
        <w:t xml:space="preserve">),</w:t>
      </w:r>
      <w:r>
        <w:rPr>
          <w:rFonts w:ascii="Arial" w:hAnsi="Arial" w:eastAsia="Arial"/>
          <w:strike w:val="false"/>
          <w:color w:val="000000"/>
          <w:spacing w:val="-5"/>
          <w:w w:val="100"/>
          <w:sz w:val="28"/>
          <w:vertAlign w:val="baseline"/>
          <w:lang w:val="en-US"/>
        </w:rPr>
        <w:t xml:space="preserve"> the defendant </w:t>
      </w:r>
      <w:r>
        <w:rPr>
          <w:rFonts w:ascii="Arial" w:hAnsi="Arial" w:eastAsia="Arial"/>
          <w:strike w:val="false"/>
          <w:color w:val="000000"/>
          <w:spacing w:val="-5"/>
          <w:w w:val="100"/>
          <w:sz w:val="28"/>
          <w:u w:val="single"/>
          <w:vertAlign w:val="baseline"/>
          <w:lang w:val="en-US"/>
        </w:rPr>
        <w:t xml:space="preserve">(</w:t>
      </w:r>
      <w:r>
        <w:rPr>
          <w:rFonts w:ascii="Arial" w:hAnsi="Arial" w:eastAsia="Arial"/>
          <w:i w:val="true"/>
          <w:strike w:val="false"/>
          <w:color w:val="000000"/>
          <w:spacing w:val="-5"/>
          <w:w w:val="100"/>
          <w:sz w:val="28"/>
          <w:u w:val="single"/>
          <w:vertAlign w:val="baseline"/>
          <w:lang w:val="en-US"/>
        </w:rPr>
        <w:t xml:space="preserve">defendant’s name</w:t>
      </w:r>
      <w:r>
        <w:rPr>
          <w:rFonts w:ascii="Arial" w:hAnsi="Arial" w:eastAsia="Arial"/>
          <w:strike w:val="false"/>
          <w:color w:val="000000"/>
          <w:spacing w:val="-5"/>
          <w:w w:val="100"/>
          <w:sz w:val="28"/>
          <w:u w:val="single"/>
          <w:vertAlign w:val="baseline"/>
          <w:lang w:val="en-US"/>
        </w:rPr>
        <w:t xml:space="preserve">) </w:t>
      </w:r>
      <w:r>
        <w:rPr>
          <w:rFonts w:ascii="Arial" w:hAnsi="Arial" w:eastAsia="Arial"/>
          <w:strike w:val="false"/>
          <w:color w:val="000000"/>
          <w:spacing w:val="-5"/>
          <w:w w:val="100"/>
          <w:sz w:val="28"/>
          <w:vertAlign w:val="baseline"/>
          <w:lang w:val="en-US"/>
        </w:rPr>
        <w:t xml:space="preserve">engaged in a course of conduct directed at </w:t>
      </w:r>
      <w:r>
        <w:rPr>
          <w:rFonts w:ascii="Arial" w:hAnsi="Arial" w:eastAsia="Arial"/>
          <w:strike w:val="false"/>
          <w:color w:val="000000"/>
          <w:spacing w:val="-5"/>
          <w:w w:val="100"/>
          <w:sz w:val="28"/>
          <w:u w:val="single"/>
          <w:vertAlign w:val="baseline"/>
          <w:lang w:val="en-US"/>
        </w:rPr>
        <w:t xml:space="preserve">(</w:t>
      </w:r>
      <w:r>
        <w:rPr>
          <w:rFonts w:ascii="Arial" w:hAnsi="Arial" w:eastAsia="Arial"/>
          <w:i w:val="true"/>
          <w:strike w:val="false"/>
          <w:color w:val="000000"/>
          <w:spacing w:val="-5"/>
          <w:w w:val="100"/>
          <w:sz w:val="28"/>
          <w:u w:val="single"/>
          <w:vertAlign w:val="baseline"/>
          <w:lang w:val="en-US"/>
        </w:rPr>
        <w:t xml:space="preserve">specify</w:t>
      </w:r>
      <w:r>
        <w:rPr>
          <w:rFonts w:ascii="Arial" w:hAnsi="Arial" w:eastAsia="Arial"/>
          <w:strike w:val="false"/>
          <w:color w:val="000000"/>
          <w:spacing w:val="-5"/>
          <w:w w:val="100"/>
          <w:sz w:val="28"/>
          <w:u w:val="single"/>
          <w:vertAlign w:val="baseline"/>
          <w:lang w:val="en-US"/>
        </w:rPr>
        <w:t xml:space="preserve">);</w:t>
      </w:r>
      <w:r>
        <w:rPr>
          <w:rFonts w:ascii="Arial" w:hAnsi="Arial" w:eastAsia="Arial"/>
          <w:strike w:val="false"/>
          <w:color w:val="000000"/>
          <w:spacing w:val="-5"/>
          <w:w w:val="100"/>
          <w:sz w:val="28"/>
          <w:vertAlign w:val="baseline"/>
          <w:lang w:val="en-US"/>
        </w:rPr>
        <w:t xml:space="preserve">
</w:t>
      </w:r>
    </w:p>
    <w:p>
      <w:pPr>
        <w:pageBreakBefore w:val="false"/>
        <w:numPr>
          <w:ilvl w:val="0"/>
          <w:numId w:val="1"/>
        </w:numPr>
        <w:tabs>
          <w:tab w:val="clear" w:pos="720"/>
          <w:tab w:val="left" w:pos="1440"/>
        </w:tabs>
        <w:spacing w:before="331" w:after="0" w:line="322"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intentionally and with intent to harass, alarm or annoy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t>
      </w:r>
    </w:p>
    <w:p>
      <w:pPr>
        <w:pageBreakBefore w:val="false"/>
        <w:numPr>
          <w:ilvl w:val="0"/>
          <w:numId w:val="1"/>
        </w:numPr>
        <w:tabs>
          <w:tab w:val="clear" w:pos="720"/>
          <w:tab w:val="left" w:pos="1440"/>
        </w:tabs>
        <w:spacing w:before="322" w:after="632" w:line="326"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course of conduct was likely to cause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to reasonably fear</w:t>
      </w:r>
    </w:p>
    <w:p>
      <w:pPr>
        <w:pageBreakBefore w:val="false"/>
        <w:spacing w:before="261" w:after="0" w:line="273" w:lineRule="exact"/>
        <w:ind w:right="0" w:left="288" w:firstLine="0"/>
        <w:jc w:val="left"/>
        <w:textAlignment w:val="baseline"/>
        <w:rPr>
          <w:rFonts w:ascii="Arial" w:hAnsi="Arial" w:eastAsia="Arial"/>
          <w:strike w:val="false"/>
          <w:color w:val="000000"/>
          <w:spacing w:val="-3"/>
          <w:w w:val="100"/>
          <w:sz w:val="14"/>
          <w:vertAlign w:val="superscript"/>
          <w:lang w:val="en-US"/>
        </w:rPr>
      </w:pPr>
      <w:r>
        <w:pict>
          <v:line strokeweight="1.2pt" strokecolor="#000000" from="108pt,607.45pt" to="252.05pt,607.45pt" style="position:absolute;mso-position-horizontal-relative:page;mso-position-vertical-relative:page;">
            <v:stroke dashstyle="solid"/>
          </v:line>
        </w:pict>
      </w:r>
      <w:r>
        <w:rPr>
          <w:rFonts w:ascii="Arial" w:hAnsi="Arial" w:eastAsia="Arial"/>
          <w:strike w:val="false"/>
          <w:color w:val="000000"/>
          <w:spacing w:val="-3"/>
          <w:w w:val="100"/>
          <w:sz w:val="14"/>
          <w:vertAlign w:val="superscript"/>
          <w:lang w:val="en-US"/>
        </w:rPr>
        <w:t xml:space="preserve">6</w:t>
      </w:r>
      <w:r>
        <w:rPr>
          <w:rFonts w:ascii="Arial" w:hAnsi="Arial" w:eastAsia="Arial"/>
          <w:i w:val="true"/>
          <w:strike w:val="false"/>
          <w:color w:val="000000"/>
          <w:spacing w:val="-3"/>
          <w:w w:val="100"/>
          <w:sz w:val="24"/>
          <w:vertAlign w:val="baseline"/>
          <w:lang w:val="en-US"/>
        </w:rPr>
        <w:t xml:space="preserve"> See </w:t>
      </w:r>
      <w:r>
        <w:rPr>
          <w:rFonts w:ascii="Arial" w:hAnsi="Arial" w:eastAsia="Arial"/>
          <w:strike w:val="false"/>
          <w:color w:val="000000"/>
          <w:spacing w:val="-3"/>
          <w:w w:val="100"/>
          <w:sz w:val="24"/>
          <w:vertAlign w:val="baseline"/>
          <w:lang w:val="en-US"/>
        </w:rPr>
        <w:t xml:space="preserve">Penal Law § 15.05(3); </w:t>
      </w:r>
      <w:r>
        <w:rPr>
          <w:rFonts w:ascii="Arial" w:hAnsi="Arial" w:eastAsia="Arial"/>
          <w:i w:val="true"/>
          <w:strike w:val="false"/>
          <w:color w:val="000000"/>
          <w:spacing w:val="-3"/>
          <w:w w:val="100"/>
          <w:sz w:val="24"/>
          <w:vertAlign w:val="baseline"/>
          <w:lang w:val="en-US"/>
        </w:rPr>
        <w:t xml:space="preserve">People v. Boutin, </w:t>
      </w:r>
      <w:r>
        <w:rPr>
          <w:rFonts w:ascii="Arial" w:hAnsi="Arial" w:eastAsia="Arial"/>
          <w:strike w:val="false"/>
          <w:color w:val="000000"/>
          <w:spacing w:val="-3"/>
          <w:w w:val="100"/>
          <w:sz w:val="24"/>
          <w:vertAlign w:val="baseline"/>
          <w:lang w:val="en-US"/>
        </w:rPr>
        <w:t xml:space="preserve">75 NY2d 692, 696 (1990).</w:t>
      </w:r>
    </w:p>
    <w:p>
      <w:pPr>
        <w:pageBreakBefore w:val="false"/>
        <w:spacing w:before="243" w:after="0" w:line="273" w:lineRule="exact"/>
        <w:ind w:right="0" w:left="288"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8</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15.05(3).</w:t>
      </w:r>
    </w:p>
    <w:p>
      <w:pPr>
        <w:pageBreakBefore w:val="false"/>
        <w:spacing w:before="248" w:after="0" w:line="273" w:lineRule="exact"/>
        <w:ind w:right="0" w:left="288"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9</w:t>
      </w:r>
      <w:r>
        <w:rPr>
          <w:rFonts w:ascii="Arial" w:hAnsi="Arial" w:eastAsia="Arial"/>
          <w:strike w:val="false"/>
          <w:color w:val="000000"/>
          <w:spacing w:val="0"/>
          <w:w w:val="100"/>
          <w:sz w:val="24"/>
          <w:vertAlign w:val="baseline"/>
          <w:lang w:val="en-US"/>
        </w:rPr>
        <w:t xml:space="preserve"> Penal Law § 10.00(9). </w:t>
      </w:r>
      <w:r>
        <w:rPr>
          <w:rFonts w:ascii="Arial" w:hAnsi="Arial" w:eastAsia="Arial"/>
          <w:i w:val="true"/>
          <w:strike w:val="false"/>
          <w:color w:val="000000"/>
          <w:spacing w:val="0"/>
          <w:w w:val="100"/>
          <w:sz w:val="24"/>
          <w:vertAlign w:val="baseline"/>
          <w:lang w:val="en-US"/>
        </w:rPr>
        <w:t xml:space="preserve">See People v. Chiddick</w:t>
      </w:r>
      <w:r>
        <w:rPr>
          <w:rFonts w:ascii="Arial" w:hAnsi="Arial" w:eastAsia="Arial"/>
          <w:strike w:val="false"/>
          <w:color w:val="000000"/>
          <w:spacing w:val="0"/>
          <w:w w:val="100"/>
          <w:sz w:val="24"/>
          <w:vertAlign w:val="baseline"/>
          <w:lang w:val="en-US"/>
        </w:rPr>
        <w:t xml:space="preserve">, 8 NY3d 445 (2007).</w:t>
      </w:r>
    </w:p>
    <w:p>
      <w:pPr>
        <w:pageBreakBefore w:val="false"/>
        <w:spacing w:before="238" w:after="0" w:line="277" w:lineRule="exact"/>
        <w:ind w:right="0" w:left="288"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10</w:t>
      </w:r>
      <w:r>
        <w:rPr>
          <w:rFonts w:ascii="Arial" w:hAnsi="Arial" w:eastAsia="Arial"/>
          <w:strike w:val="false"/>
          <w:color w:val="000000"/>
          <w:spacing w:val="0"/>
          <w:w w:val="100"/>
          <w:sz w:val="24"/>
          <w:vertAlign w:val="baseline"/>
          <w:lang w:val="en-US"/>
        </w:rPr>
        <w:t xml:space="preserve"> Penal Law § 120.40(4).</w:t>
      </w:r>
    </w:p>
    <w:p>
      <w:pPr>
        <w:pageBreakBefore w:val="false"/>
        <w:spacing w:before="252" w:after="0" w:line="295" w:lineRule="exact"/>
        <w:ind w:right="0" w:left="0" w:firstLine="0"/>
        <w:jc w:val="center"/>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3</w:t>
      </w:r>
    </w:p>
    <w:p>
      <w:pPr>
        <w:sectPr>
          <w:type w:val="nextPage"/>
          <w:pgSz w:w="12240" w:h="15840" w:orient="portrait"/>
          <w:pgMar w:bottom="664" w:top="1440" w:right="2140" w:left="2160" w:header="720" w:footer="720"/>
          <w:titlePg w:val="false"/>
          <w:textDirection w:val="lrTb"/>
        </w:sectPr>
      </w:pPr>
    </w:p>
    <w:p>
      <w:pPr>
        <w:pageBreakBefore w:val="false"/>
        <w:spacing w:before="8" w:after="0" w:line="320" w:lineRule="exact"/>
        <w:ind w:right="0" w:left="2160" w:firstLine="0"/>
        <w:jc w:val="left"/>
        <w:textAlignment w:val="baseline"/>
        <w:rPr>
          <w:rFonts w:ascii="Arial" w:hAnsi="Arial" w:eastAsia="Arial"/>
          <w:i w:val="true"/>
          <w:strike w:val="false"/>
          <w:color w:val="000000"/>
          <w:spacing w:val="0"/>
          <w:w w:val="100"/>
          <w:sz w:val="28"/>
          <w:u w:val="single"/>
          <w:vertAlign w:val="baseline"/>
          <w:lang w:val="en-US"/>
        </w:rPr>
      </w:pPr>
      <w:r>
        <w:rPr>
          <w:rFonts w:ascii="Arial" w:hAnsi="Arial" w:eastAsia="Arial"/>
          <w:i w:val="true"/>
          <w:strike w:val="false"/>
          <w:color w:val="000000"/>
          <w:spacing w:val="0"/>
          <w:w w:val="100"/>
          <w:sz w:val="28"/>
          <w:u w:val="single"/>
          <w:vertAlign w:val="baseline"/>
          <w:lang w:val="en-US"/>
        </w:rPr>
        <w:t xml:space="preserve">Select appropriate alternative(s):</w:t>
      </w:r>
    </w:p>
    <w:p>
      <w:pPr>
        <w:pageBreakBefore w:val="false"/>
        <w:spacing w:before="328" w:after="0" w:line="317" w:lineRule="exact"/>
        <w:ind w:right="0" w:left="216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physical injury to, [or]</w:t>
      </w:r>
    </w:p>
    <w:p>
      <w:pPr>
        <w:pageBreakBefore w:val="false"/>
        <w:spacing w:before="10" w:after="0" w:line="317" w:lineRule="exact"/>
        <w:ind w:right="0" w:left="216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serious physical injury to, [or]</w:t>
      </w:r>
    </w:p>
    <w:p>
      <w:pPr>
        <w:pageBreakBefore w:val="false"/>
        <w:spacing w:before="4" w:after="0" w:line="317" w:lineRule="exact"/>
        <w:ind w:right="0" w:left="216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commission of a sex offense against, [or]</w:t>
      </w:r>
    </w:p>
    <w:p>
      <w:pPr>
        <w:pageBreakBefore w:val="false"/>
        <w:spacing w:before="10" w:after="0" w:line="317" w:lineRule="exact"/>
        <w:ind w:right="0" w:left="216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kidnapping of, [or]</w:t>
      </w:r>
    </w:p>
    <w:p>
      <w:pPr>
        <w:pageBreakBefore w:val="false"/>
        <w:spacing w:before="4" w:after="0" w:line="317" w:lineRule="exact"/>
        <w:ind w:right="0" w:left="216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unlawful imprisonment of,[or]</w:t>
      </w:r>
    </w:p>
    <w:p>
      <w:pPr>
        <w:pageBreakBefore w:val="false"/>
        <w:spacing w:before="5" w:after="0" w:line="317" w:lineRule="exact"/>
        <w:ind w:right="0" w:left="2160" w:firstLine="0"/>
        <w:jc w:val="lef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death of</w:t>
      </w:r>
    </w:p>
    <w:p>
      <w:pPr>
        <w:pageBreakBefore w:val="false"/>
        <w:spacing w:before="332" w:after="0" w:line="321"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himself/herself [or a member of his/her immediate family],] and</w:t>
      </w:r>
    </w:p>
    <w:p>
      <w:pPr>
        <w:pageBreakBefore w:val="false"/>
        <w:tabs>
          <w:tab w:val="right" w:leader="none" w:pos="7920"/>
        </w:tabs>
        <w:spacing w:before="331" w:after="0" w:line="317"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4.	</w:t>
      </w:r>
      <w:r>
        <w:rPr>
          <w:rFonts w:ascii="Arial" w:hAnsi="Arial" w:eastAsia="Arial"/>
          <w:strike w:val="false"/>
          <w:color w:val="000000"/>
          <w:spacing w:val="0"/>
          <w:w w:val="100"/>
          <w:sz w:val="28"/>
          <w:vertAlign w:val="baseline"/>
          <w:lang w:val="en-US"/>
        </w:rPr>
        <w:t xml:space="preserve">That in the course and furtherance of such conduct,</w:t>
      </w:r>
    </w:p>
    <w:p>
      <w:pPr>
        <w:pageBreakBefore w:val="false"/>
        <w:spacing w:before="2" w:after="0" w:line="326"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defendant intentionally or recklessly caused physical injury to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t>
      </w:r>
    </w:p>
    <w:p>
      <w:pPr>
        <w:pageBreakBefore w:val="false"/>
        <w:spacing w:before="318"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5579"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24" w:after="5579" w:line="324" w:lineRule="exact"/>
        <w:sectPr>
          <w:type w:val="nextPage"/>
          <w:pgSz w:w="12240" w:h="15840" w:orient="portrait"/>
          <w:pgMar w:bottom="664" w:top="1440" w:right="2142" w:left="2158" w:header="720" w:footer="720"/>
          <w:titlePg w:val="false"/>
          <w:textDirection w:val="lrTb"/>
        </w:sectPr>
      </w:pPr>
    </w:p>
    <w:p>
      <w:pPr>
        <w:pageBreakBefore w:val="false"/>
        <w:spacing w:before="2" w:after="0" w:line="297" w:lineRule="exact"/>
        <w:ind w:right="0" w:left="0" w:firstLine="0"/>
        <w:jc w:val="center"/>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4</w:t>
      </w:r>
    </w:p>
    <w:sectPr>
      <w:type w:val="continuous"/>
      <w:pgSz w:w="12240" w:h="15840" w:orient="portrait"/>
      <w:pgMar w:bottom="664" w:top="1440" w:right="2152" w:left="214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5"/>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