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STRANGULATION FIRST DEGREE</w:t>
      </w:r>
    </w:p>
    <w:p>
      <w:pPr>
        <w:pageBreakBefore w:val="false"/>
        <w:spacing w:before="13" w:after="0" w:line="318" w:lineRule="exact"/>
        <w:ind w:right="0" w:left="0" w:firstLine="0"/>
        <w:jc w:val="center"/>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 Felony)</w:t>
      </w:r>
    </w:p>
    <w:p>
      <w:pPr>
        <w:pageBreakBefore w:val="false"/>
        <w:spacing w:before="13" w:after="0" w:line="318" w:lineRule="exact"/>
        <w:ind w:right="0" w:left="0" w:firstLine="0"/>
        <w:jc w:val="center"/>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PENAL LAW 121.13</w:t>
      </w:r>
    </w:p>
    <w:p>
      <w:pPr>
        <w:pageBreakBefore w:val="false"/>
        <w:spacing w:before="13" w:after="0" w:line="318" w:lineRule="exact"/>
        <w:ind w:right="0" w:left="0" w:firstLine="0"/>
        <w:jc w:val="center"/>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(Committed on or after Nov. 11, 2010)</w:t>
      </w:r>
    </w:p>
    <w:p>
      <w:pPr>
        <w:pageBreakBefore w:val="false"/>
        <w:tabs>
          <w:tab w:val="left" w:leader="underscore" w:pos="2016"/>
        </w:tabs>
        <w:spacing w:before="330" w:after="0" w:line="318"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w:t>
      </w:r>
      <w:r>
        <w:rPr>
          <w:rFonts w:ascii="Arial" w:hAnsi="Arial" w:eastAsia="Arial"/>
          <w:color w:val="000000"/>
          <w:spacing w:val="2"/>
          <w:w w:val="100"/>
          <w:sz w:val="28"/>
          <w:vertAlign w:val="baseline"/>
          <w:lang w:val="en-US"/>
        </w:rPr>
        <w:t xml:space="preserve">count is Strangulation in the First Degree.</w:t>
      </w:r>
    </w:p>
    <w:p>
      <w:pPr>
        <w:pageBreakBefore w:val="false"/>
        <w:spacing w:before="326" w:after="0" w:line="240"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Strangulation in the First Degree when , with intent to impede the normal breathing or</w:t>
      </w:r>
    </w:p>
    <w:p>
      <w:pPr>
        <w:pageBreakBefore w:val="false"/>
        <w:spacing w:before="0" w:after="0" w:line="20" w:lineRule="exact"/>
        <w:ind w:right="0" w:left="1728"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1</w:t>
      </w:r>
    </w:p>
    <w:p>
      <w:pPr>
        <w:pageBreakBefore w:val="false"/>
        <w:spacing w:before="151"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circulation of the blood of another person, he or she</w:t>
      </w:r>
    </w:p>
    <w:p>
      <w:pPr>
        <w:pageBreakBefore w:val="false"/>
        <w:spacing w:before="326" w:after="0" w:line="32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r>
        <w:rPr>
          <w:rFonts w:ascii="Arial" w:hAnsi="Arial" w:eastAsia="Arial"/>
          <w:color w:val="000000"/>
          <w:spacing w:val="0"/>
          <w:w w:val="100"/>
          <w:sz w:val="30"/>
          <w:u w:val="single"/>
          <w:vertAlign w:val="baseline"/>
          <w:lang w:val="en-US"/>
        </w:rPr>
        <w:t xml:space="preserve">: </w:t>
      </w:r>
    </w:p>
    <w:p>
      <w:pPr>
        <w:pageBreakBefore w:val="false"/>
        <w:spacing w:before="323"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applies pressure on the throat or neck of such person</w:t>
      </w:r>
    </w:p>
    <w:p>
      <w:pPr>
        <w:pageBreakBefore w:val="false"/>
        <w:spacing w:before="330"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blocks the nose or mouth of such person</w:t>
      </w:r>
    </w:p>
    <w:p>
      <w:pPr>
        <w:pageBreakBefore w:val="false"/>
        <w:spacing w:before="330" w:after="0" w:line="318"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and thereby causes serious physical injury to such other person.</w:t>
      </w:r>
    </w:p>
    <w:p>
      <w:pPr>
        <w:pageBreakBefore w:val="false"/>
        <w:spacing w:before="324"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have their own special meaning in our law. I will now give you the meaning of the following terms: “intent” and “serious physical injury.”</w:t>
      </w:r>
    </w:p>
    <w:p>
      <w:pPr>
        <w:pageBreakBefore w:val="false"/>
        <w:spacing w:before="0" w:after="0" w:line="231"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 Thus, a</w:t>
      </w:r>
    </w:p>
    <w:p>
      <w:pPr>
        <w:pageBreakBefore w:val="false"/>
        <w:spacing w:before="322" w:after="0" w:line="95" w:lineRule="exact"/>
        <w:ind w:right="0" w:left="6696"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w:t>
      </w:r>
    </w:p>
    <w:p>
      <w:pPr>
        <w:pageBreakBefore w:val="false"/>
        <w:spacing w:before="7"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acts with the intent to impede the normal breathing or circulation of the blood of another person when his or her conscious objective or purpose is to do so.</w:t>
      </w:r>
    </w:p>
    <w:p>
      <w:pPr>
        <w:pageBreakBefore w:val="false"/>
        <w:spacing w:before="324" w:after="30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w:t>
      </w:r>
    </w:p>
    <w:p>
      <w:pPr>
        <w:pageBreakBefore w:val="false"/>
        <w:spacing w:before="288" w:after="0" w:line="281"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75pt,592.3pt" to="252.05pt,592.3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 </w:t>
      </w:r>
      <w:r>
        <w:rPr>
          <w:rFonts w:ascii="Arial" w:hAnsi="Arial" w:eastAsia="Arial"/>
          <w:color w:val="000000"/>
          <w:spacing w:val="0"/>
          <w:w w:val="100"/>
          <w:sz w:val="24"/>
          <w:vertAlign w:val="baseline"/>
          <w:lang w:val="en-US"/>
        </w:rPr>
        <w:t xml:space="preserve">At this point the statute states “he or she commits the crime of criminal obstruction of breathing or blood circulation, as defined in section 121.11 of this article.” This charge substitutes the operative language of that crime.</w:t>
      </w:r>
    </w:p>
    <w:p>
      <w:pPr>
        <w:pageBreakBefore w:val="false"/>
        <w:spacing w:before="248" w:after="0" w:line="304"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 </w:t>
      </w:r>
      <w:r>
        <w:rPr>
          <w:rFonts w:ascii="Arial" w:hAnsi="Arial" w:eastAsia="Arial"/>
          <w:color w:val="000000"/>
          <w:spacing w:val="0"/>
          <w:w w:val="100"/>
          <w:sz w:val="24"/>
          <w:vertAlign w:val="baseline"/>
          <w:lang w:val="en-US"/>
        </w:rPr>
        <w:t xml:space="preserve">See Penal Law § 15.05(1). </w:t>
      </w:r>
      <w:r>
        <w:rPr>
          <w:rFonts w:ascii="Arial" w:hAnsi="Arial" w:eastAsia="Arial"/>
          <w:color w:val="000000"/>
          <w:spacing w:val="0"/>
          <w:w w:val="100"/>
          <w:sz w:val="26"/>
          <w:vertAlign w:val="baseline"/>
          <w:lang w:val="en-US"/>
        </w:rPr>
        <w:t xml:space="preserve">If necessary, an expanded definition of “intent” is available in the section on </w:t>
      </w:r>
      <w:r>
        <w:rPr>
          <w:rFonts w:ascii="Arial" w:hAnsi="Arial" w:eastAsia="Arial"/>
          <w:color w:val="000000"/>
          <w:spacing w:val="0"/>
          <w:w w:val="100"/>
          <w:sz w:val="24"/>
          <w:vertAlign w:val="baseline"/>
          <w:lang w:val="en-US"/>
        </w:rPr>
        <w:t xml:space="preserve">Instructions of General Applicability </w:t>
      </w:r>
      <w:r>
        <w:rPr>
          <w:rFonts w:ascii="Arial" w:hAnsi="Arial" w:eastAsia="Arial"/>
          <w:color w:val="000000"/>
          <w:spacing w:val="0"/>
          <w:w w:val="100"/>
          <w:sz w:val="26"/>
          <w:vertAlign w:val="baseline"/>
          <w:lang w:val="en-US"/>
        </w:rPr>
        <w:t xml:space="preserve">under Culpable Mental States.</w:t>
      </w:r>
    </w:p>
    <w:p>
      <w:pPr>
        <w:sectPr>
          <w:type w:val="nextPage"/>
          <w:pgSz w:w="12240" w:h="15840" w:orient="portrait"/>
          <w:pgMar w:bottom="1024" w:top="1440" w:right="2125" w:left="2155" w:header="720" w:footer="720"/>
          <w:titlePg w:val="false"/>
          <w:textDirection w:val="lrTb"/>
        </w:sectPr>
      </w:pPr>
    </w:p>
    <w:p>
      <w:pPr>
        <w:pageBreakBefore w:val="false"/>
        <w:spacing w:before="1"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disfigurement, or protracted impairment of health or protracted loss of impairment of the function of any bodily organ.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2"/>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w:t>
      </w:r>
    </w:p>
    <w:p>
      <w:pPr>
        <w:pageBreakBefore w:val="false"/>
        <w:spacing w:before="331" w:after="0" w:line="318"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330"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applied pressure on the throat or neck of (</w:t>
      </w:r>
      <w:r>
        <w:rPr>
          <w:rFonts w:ascii="Arial" w:hAnsi="Arial" w:eastAsia="Arial"/>
          <w:i w:val="true"/>
          <w:color w:val="000000"/>
          <w:spacing w:val="0"/>
          <w:w w:val="100"/>
          <w:sz w:val="24"/>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31" w:after="0" w:line="317"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blocked the nose or mouth of (</w:t>
      </w:r>
      <w:r>
        <w:rPr>
          <w:rFonts w:ascii="Arial" w:hAnsi="Arial" w:eastAsia="Arial"/>
          <w:i w:val="true"/>
          <w:color w:val="000000"/>
          <w:spacing w:val="0"/>
          <w:w w:val="100"/>
          <w:sz w:val="24"/>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impede the normal breathing or circulation of the blood of such person; and</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caused serious physical injury to such person.</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of Penal Law § 121.14 does not apply conclude as follows</w:t>
      </w:r>
      <w:r>
        <w:rPr>
          <w:rFonts w:ascii="Arial" w:hAnsi="Arial" w:eastAsia="Arial"/>
          <w:color w:val="000000"/>
          <w:spacing w:val="0"/>
          <w:w w:val="100"/>
          <w:sz w:val="28"/>
          <w:vertAlign w:val="baseline"/>
          <w:lang w:val="en-US"/>
        </w:rPr>
        <w:t xml:space="preserve">:</w:t>
      </w:r>
    </w:p>
    <w:p>
      <w:pPr>
        <w:pageBreakBefore w:val="false"/>
        <w:spacing w:before="320" w:after="0" w:line="32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Therefore, if you find that the People have proven beyond a reasonable doubt each of those elements, you must find the defendant guilty of the crime of Strangulation in the First Degree</w:t>
      </w:r>
    </w:p>
    <w:p>
      <w:pPr>
        <w:pageBreakBefore w:val="false"/>
        <w:tabs>
          <w:tab w:val="left" w:leader="underscore" w:pos="3096"/>
        </w:tabs>
        <w:spacing w:before="5"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the crime of</w:t>
      </w:r>
    </w:p>
    <w:p>
      <w:pPr>
        <w:pageBreakBefore w:val="false"/>
        <w:tabs>
          <w:tab w:val="right" w:leader="underscore" w:pos="7920"/>
        </w:tabs>
        <w:spacing w:before="4" w:after="495"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Strangulation in the First Degree as charged in the	</w:t>
      </w:r>
      <w:r>
        <w:rPr>
          <w:rFonts w:ascii="Arial" w:hAnsi="Arial" w:eastAsia="Arial"/>
          <w:color w:val="000000"/>
          <w:spacing w:val="0"/>
          <w:w w:val="100"/>
          <w:sz w:val="28"/>
          <w:vertAlign w:val="baseline"/>
          <w:lang w:val="en-US"/>
        </w:rPr>
        <w:t xml:space="preserve">count.]</w:t>
      </w:r>
    </w:p>
    <w:p>
      <w:pPr>
        <w:pageBreakBefore w:val="false"/>
        <w:spacing w:before="258" w:after="252" w:line="317" w:lineRule="exact"/>
        <w:ind w:right="0" w:left="720" w:firstLine="0"/>
        <w:jc w:val="left"/>
        <w:textAlignment w:val="baseline"/>
        <w:rPr>
          <w:rFonts w:ascii="Arial" w:hAnsi="Arial" w:eastAsia="Arial"/>
          <w:color w:val="000000"/>
          <w:spacing w:val="1"/>
          <w:w w:val="100"/>
          <w:sz w:val="16"/>
          <w:vertAlign w:val="baseline"/>
          <w:lang w:val="en-US"/>
        </w:rPr>
      </w:pPr>
      <w:r>
        <w:pict>
          <v:line strokeweight="0.95pt" strokecolor="#000000" from="107.35pt,664.8pt" to="252.05pt,664.8pt" style="position:absolute;mso-position-horizontal-relative:page;mso-position-vertical-relative:page;">
            <v:stroke dashstyle="solid"/>
          </v:line>
        </w:pict>
      </w:r>
      <w:r>
        <w:rPr>
          <w:rFonts w:ascii="Arial" w:hAnsi="Arial" w:eastAsia="Arial"/>
          <w:color w:val="000000"/>
          <w:spacing w:val="1"/>
          <w:w w:val="100"/>
          <w:sz w:val="16"/>
          <w:vertAlign w:val="baseline"/>
          <w:lang w:val="en-US"/>
        </w:rPr>
        <w:t xml:space="preserve">3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Penal Law § 10.00(10)</w:t>
      </w:r>
      <w:r>
        <w:rPr>
          <w:rFonts w:ascii="Arial" w:hAnsi="Arial" w:eastAsia="Arial"/>
          <w:color w:val="000000"/>
          <w:spacing w:val="1"/>
          <w:w w:val="100"/>
          <w:sz w:val="28"/>
          <w:vertAlign w:val="baseline"/>
          <w:lang w:val="en-US"/>
        </w:rPr>
        <w:t xml:space="preserve">.</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33" w:left="2147"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the affirmative defense of Penal Law § 121.14 applies, omit the final two paragraphs of the above charge, and substitute the following: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16"/>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the crime of Strangulation in the</w:t>
      </w:r>
    </w:p>
    <w:p>
      <w:pPr>
        <w:pageBreakBefore w:val="false"/>
        <w:tabs>
          <w:tab w:val="left" w:leader="underscore" w:pos="4608"/>
        </w:tabs>
        <w:spacing w:before="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First Degree as charged in the	</w:t>
      </w:r>
      <w:r>
        <w:rPr>
          <w:rFonts w:ascii="Arial" w:hAnsi="Arial" w:eastAsia="Arial"/>
          <w:color w:val="000000"/>
          <w:spacing w:val="1"/>
          <w:w w:val="100"/>
          <w:sz w:val="28"/>
          <w:vertAlign w:val="baseline"/>
          <w:lang w:val="en-US"/>
        </w:rPr>
        <w:t xml:space="preserve">count.</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Strangulation in the First Degree you will not consider the affirmative defense.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prosecution for this crime that the defendant performed such conduct for a valid medical or dental purpose.</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determining whether the defendant has proven the affirmative defense by a preponderance of the evidence, you may consider the evidence presented by the People or by the defendant.</w:t>
      </w:r>
    </w:p>
    <w:p>
      <w:pPr>
        <w:pageBreakBefore w:val="false"/>
        <w:spacing w:before="327" w:after="273"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w:t>
      </w:r>
    </w:p>
    <w:p>
      <w:pPr>
        <w:pageBreakBefore w:val="false"/>
        <w:spacing w:before="291" w:after="0" w:line="281" w:lineRule="exact"/>
        <w:ind w:right="0" w:left="0" w:firstLine="720"/>
        <w:jc w:val="both"/>
        <w:textAlignment w:val="baseline"/>
        <w:rPr>
          <w:rFonts w:ascii="Arial" w:hAnsi="Arial" w:eastAsia="Arial"/>
          <w:color w:val="000000"/>
          <w:spacing w:val="0"/>
          <w:w w:val="100"/>
          <w:sz w:val="16"/>
          <w:vertAlign w:val="baseline"/>
          <w:lang w:val="en-US"/>
        </w:rPr>
      </w:pPr>
      <w:r>
        <w:pict>
          <v:line strokeweight="0.95pt" strokecolor="#000000" from="107.35pt,637.2pt" to="252.05pt,637.2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4 </w:t>
      </w:r>
      <w:r>
        <w:rPr>
          <w:rFonts w:ascii="Arial" w:hAnsi="Arial" w:eastAsia="Arial"/>
          <w:color w:val="000000"/>
          <w:spacing w:val="0"/>
          <w:w w:val="100"/>
          <w:sz w:val="24"/>
          <w:vertAlign w:val="baseline"/>
          <w:lang w:val="en-US"/>
        </w:rPr>
        <w:t xml:space="preserve">The justification defense for a duly licensed physician, or a person acting under a physician’s direction, as set forth in PL § 35.10(5), may also be applicable. If so, the jury should be charged accordingly.</w:t>
      </w:r>
    </w:p>
    <w:p>
      <w:pPr>
        <w:pageBreakBefore w:val="false"/>
        <w:spacing w:before="249" w:after="0" w:line="292" w:lineRule="exact"/>
        <w:ind w:right="0" w:left="0" w:firstLine="0"/>
        <w:jc w:val="center"/>
        <w:textAlignment w:val="baseline"/>
        <w:rPr>
          <w:rFonts w:ascii="Arial" w:hAnsi="Arial" w:eastAsia="Arial"/>
          <w:color w:val="000000"/>
          <w:spacing w:val="0"/>
          <w:w w:val="100"/>
          <w:sz w:val="25"/>
          <w:vertAlign w:val="baseline"/>
          <w:lang w:val="en-US"/>
        </w:rPr>
      </w:pPr>
      <w:r>
        <w:rPr>
          <w:rFonts w:ascii="Arial" w:hAnsi="Arial" w:eastAsia="Arial"/>
          <w:color w:val="000000"/>
          <w:spacing w:val="0"/>
          <w:w w:val="100"/>
          <w:sz w:val="25"/>
          <w:vertAlign w:val="baseline"/>
          <w:lang w:val="en-US"/>
        </w:rPr>
        <w:t xml:space="preserve">3</w:t>
      </w:r>
    </w:p>
    <w:p>
      <w:pPr>
        <w:sectPr>
          <w:type w:val="nextPage"/>
          <w:pgSz w:w="12240" w:h="15840" w:orient="portrait"/>
          <w:pgMar w:bottom="1024" w:top="1440" w:right="2133" w:left="2147"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affirmative defense must be of such convincing quality as to outweigh any evidence to the contrary.</w:t>
      </w:r>
    </w:p>
    <w:p>
      <w:pPr>
        <w:pageBreakBefore w:val="false"/>
        <w:spacing w:before="314"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the elements of Strangulation in the First Degree, you must find the defendant guilty of that crime as</w:t>
      </w:r>
    </w:p>
    <w:p>
      <w:pPr>
        <w:pageBreakBefore w:val="false"/>
        <w:tabs>
          <w:tab w:val="left" w:leader="underscore" w:pos="2664"/>
        </w:tabs>
        <w:spacing w:before="0" w:after="0" w:line="321"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6" w:after="8125"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On the other hand, if you find that the defendant has proven the affirmative defense by a preponderance of the evidence, then you must find the defendant not guilty of Strangulation in the First Degree as charged in the ____ count.]</w:t>
      </w:r>
    </w:p>
    <w:p>
      <w:pPr>
        <w:spacing w:before="326" w:after="8125" w:line="326" w:lineRule="exact"/>
        <w:sectPr>
          <w:type w:val="nextPage"/>
          <w:pgSz w:w="12240" w:h="15840" w:orient="portrait"/>
          <w:pgMar w:bottom="1024" w:top="1440" w:right="2140" w:left="214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