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HOMICIDE</w:t>
        <w:br/>
      </w:r>
      <w:r>
        <w:rPr>
          <w:rFonts w:ascii="Arial" w:hAnsi="Arial" w:eastAsia="Arial"/>
          <w:b w:val="true"/>
          <w:color w:val="000000"/>
          <w:spacing w:val="0"/>
          <w:w w:val="100"/>
          <w:sz w:val="28"/>
          <w:vertAlign w:val="baseline"/>
          <w:lang w:val="en-US"/>
        </w:rPr>
        <w:t xml:space="preserve">(Reckless Driving; Vehicular Manslaughter;</w:t>
        <w:br/>
      </w:r>
      <w:r>
        <w:rPr>
          <w:rFonts w:ascii="Arial" w:hAnsi="Arial" w:eastAsia="Arial"/>
          <w:b w:val="true"/>
          <w:color w:val="000000"/>
          <w:spacing w:val="0"/>
          <w:w w:val="100"/>
          <w:sz w:val="28"/>
          <w:vertAlign w:val="baseline"/>
          <w:lang w:val="en-US"/>
        </w:rPr>
        <w:t xml:space="preserve">and requisite prior conviction)</w:t>
        <w:br/>
      </w:r>
      <w:r>
        <w:rPr>
          <w:rFonts w:ascii="Arial" w:hAnsi="Arial" w:eastAsia="Arial"/>
          <w:b w:val="true"/>
          <w:color w:val="000000"/>
          <w:spacing w:val="0"/>
          <w:w w:val="100"/>
          <w:sz w:val="28"/>
          <w:vertAlign w:val="baseline"/>
          <w:lang w:val="en-US"/>
        </w:rPr>
        <w:t xml:space="preserve">Penal Law § 125.14 (6)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02" w:after="0" w:line="278" w:lineRule="exact"/>
        <w:ind w:right="0" w:left="0" w:firstLine="720"/>
        <w:jc w:val="both"/>
        <w:textAlignment w:val="baseline"/>
        <w:rPr>
          <w:rFonts w:ascii="Arial" w:hAnsi="Arial" w:eastAsia="Arial"/>
          <w:b w:val="true"/>
          <w:i w:val="true"/>
          <w:color w:val="000000"/>
          <w:spacing w:val="-1"/>
          <w:w w:val="100"/>
          <w:sz w:val="24"/>
          <w:vertAlign w:val="baseline"/>
          <w:lang w:val="en-US"/>
        </w:rPr>
      </w:pPr>
      <w:r>
        <w:rPr>
          <w:rFonts w:ascii="Arial" w:hAnsi="Arial" w:eastAsia="Arial"/>
          <w:b w:val="true"/>
          <w:i w:val="true"/>
          <w:color w:val="000000"/>
          <w:spacing w:val="-1"/>
          <w:w w:val="100"/>
          <w:sz w:val="24"/>
          <w:vertAlign w:val="baseline"/>
          <w:lang w:val="en-US"/>
        </w:rPr>
        <w:t xml:space="preserve">Note</w:t>
      </w:r>
      <w:r>
        <w:rPr>
          <w:rFonts w:ascii="Arial" w:hAnsi="Arial" w:eastAsia="Arial"/>
          <w:i w:val="true"/>
          <w:color w:val="000000"/>
          <w:spacing w:val="-1"/>
          <w:w w:val="100"/>
          <w:sz w:val="24"/>
          <w:vertAlign w:val="baseline"/>
          <w:lang w:val="en-US"/>
        </w:rPr>
        <w:t xml:space="preserve">: Subdivision six of Penal Law § 125.14 requires commission of Reckless Driving, Vehicular Manslaughter in the Second Degree and the element that the defendant has been previously convicted of violating any of the provisions of either section one hundred and twenty or one hundred and twenty five of the Penal Law (or a conviction in any other state or jurisdiction for an offense which, if committed in this state, would constitute a violation of either section one hundred and twenty or one hundred and twenty five of the Penal Law) involving the operation of a motor vehicle. That latter element is subject to the procedure set forth in CPL 200.60.</w:t>
      </w:r>
    </w:p>
    <w:p>
      <w:pPr>
        <w:pageBreakBefore w:val="false"/>
        <w:spacing w:before="0"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That procedure requires that the element related to the defendant’s prior conviction be alleged in a special information.</w:t>
      </w:r>
    </w:p>
    <w:p>
      <w:pPr>
        <w:pageBreakBefore w:val="false"/>
        <w:spacing w:before="1"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If, upon arraignment on the special information, the defendant admits the prior conviction, the court must not make any reference to the conviction in the definition of the crime or in the listing of elements.</w:t>
      </w:r>
    </w:p>
    <w:p>
      <w:pPr>
        <w:pageBreakBefore w:val="false"/>
        <w:spacing w:before="7" w:after="0" w:line="278" w:lineRule="exact"/>
        <w:ind w:right="0" w:left="0" w:firstLine="720"/>
        <w:jc w:val="both"/>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But, if the defendant denies the prior conviction or remains mute, the court must add the prior conviction element to the definition of the crime and the list of elements. See People v Cooper, 78 NY2d 476, 479 (1991)(In a Vehicular Manslaughter case, CPL 200.60 required the special information to plead both defendant’s prior conviction and that he knew that the conviction resulted in revocation of his license); People v Burgess, 89 AD3d 1100 (2d Dept, 2011)(The defendant’s admission to a special information that he was previously convicted of driving while intoxicated, that his license was accordingly revoked, and that his license remained revoked as of the date of the alleged crimes relieved the People of their burden of proving those elements, and granted the defendant the protection afforded by CPL 200.60."); People v Alshoaibi, 273 AD2d 871, 872 (4th Dept 2000)("CPL 200.60 applies both to convictions and conviction-related facts."); People v. Orlen, 170 Misc 2d 737 (Nassau County Court 1996)(CPL 200.60 applies to a suspension or revocation based upon a refusal to submit to a chemical test), cited by People v Alshoaibi, 273 AD2d at 872, supra, in support of its decision.</w:t>
      </w:r>
    </w:p>
    <w:p>
      <w:pPr>
        <w:pageBreakBefore w:val="false"/>
        <w:spacing w:before="1" w:after="0" w:line="278"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This charge assumes the defendant has admitted the element recited in the CPL 200.60 special information. If not, the Court must read the element in the definition of this charge, and add the element to the list of elements to be proven beyond a reasonable doubt.</w:t>
      </w:r>
    </w:p>
    <w:p>
      <w:pPr>
        <w:sectPr>
          <w:type w:val="nextPage"/>
          <w:pgSz w:w="12240" w:h="15840" w:orient="portrait"/>
          <w:pgMar w:bottom="1984" w:top="1440" w:right="2105" w:left="2155" w:header="720" w:footer="720"/>
          <w:titlePg w:val="false"/>
          <w:textDirection w:val="lrTb"/>
        </w:sectPr>
      </w:pPr>
    </w:p>
    <w:p>
      <w:pPr>
        <w:pageBreakBefore w:val="false"/>
        <w:spacing w:before="0" w:after="0" w:line="328"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Homicide.</w:t>
      </w:r>
    </w:p>
    <w:p>
      <w:pPr>
        <w:pageBreakBefore w:val="false"/>
        <w:spacing w:before="344" w:after="0" w:line="318" w:lineRule="exact"/>
        <w:ind w:right="0" w:left="0" w:firstLine="864"/>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Homicide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Manslaughter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01" w:after="0" w:line="32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2" w:after="224" w:line="32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Intoxication, absent more, does not establish reckless driving. One can engage in reckless driving without being</w:t>
      </w:r>
    </w:p>
    <w:p>
      <w:pPr>
        <w:pageBreakBefore w:val="false"/>
        <w:spacing w:before="240"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6.75pt,376.3pt" to="252.05pt,376.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26"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125.12 of this article.”</w:t>
      </w:r>
    </w:p>
    <w:p>
      <w:pPr>
        <w:pageBreakBefore w:val="false"/>
        <w:spacing w:before="224"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24" w:after="0" w:line="290"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25" w:left="2135" w:header="720" w:footer="720"/>
          <w:titlePg w:val="false"/>
          <w:textDirection w:val="lrTb"/>
        </w:sectPr>
      </w:pPr>
    </w:p>
    <w:p>
      <w:pPr>
        <w:pageBreakBefore w:val="false"/>
        <w:spacing w:before="10" w:after="0" w:line="323"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2"/>
          <w:w w:val="100"/>
          <w:sz w:val="28"/>
          <w:vertAlign w:val="superscript"/>
          <w:lang w:val="en-US"/>
        </w:rPr>
        <w:t xml:space="preserve">5</w:t>
      </w:r>
      <w:r>
        <w:rPr>
          <w:rFonts w:ascii="Arial" w:hAnsi="Arial" w:eastAsia="Arial"/>
          <w:color w:val="000000"/>
          <w:spacing w:val="-2"/>
          <w:w w:val="100"/>
          <w:sz w:val="17"/>
          <w:vertAlign w:val="baseline"/>
          <w:lang w:val="en-US"/>
        </w:rPr>
        <w:t xml:space="preserve">
</w:t>
      </w:r>
    </w:p>
    <w:p>
      <w:pPr>
        <w:pageBreakBefore w:val="false"/>
        <w:spacing w:before="32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commits the crime of VEHICULAR MANSLAUGHTER IN THE SECOND DEGREE when he or she</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r>
        <w:rPr>
          <w:rFonts w:ascii="Arial" w:hAnsi="Arial" w:eastAsia="Arial"/>
          <w:color w:val="000000"/>
          <w:spacing w:val="0"/>
          <w:w w:val="100"/>
          <w:sz w:val="28"/>
          <w:vertAlign w:val="baseline"/>
          <w:lang w:val="en-US"/>
        </w:rPr>
        <w:t xml:space="preserve">operates a motor vehicle</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335"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3" w:after="0" w:line="32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has .08 of one per centum or more by weight of alcohol in his or her blood as shown by chemical</w:t>
      </w:r>
    </w:p>
    <w:p>
      <w:pPr>
        <w:pageBreakBefore w:val="false"/>
        <w:spacing w:before="0" w:after="0" w:line="319"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0" w:after="803" w:line="32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242" w:after="0" w:line="289"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6.75pt,437.3pt" to="252.05pt,437.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29"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At this point the statute states "causes the death of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29"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7</w:t>
      </w:r>
      <w:r>
        <w:rPr>
          <w:rFonts w:ascii="Arial" w:hAnsi="Arial" w:eastAsia="Arial"/>
          <w:color w:val="000000"/>
          <w:spacing w:val="0"/>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26"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8</w:t>
      </w:r>
      <w:r>
        <w:rPr>
          <w:rFonts w:ascii="Arial" w:hAnsi="Arial" w:eastAsia="Arial"/>
          <w:color w:val="000000"/>
          <w:spacing w:val="0"/>
          <w:w w:val="100"/>
          <w:sz w:val="24"/>
          <w:vertAlign w:val="baseline"/>
          <w:lang w:val="en-US"/>
        </w:rPr>
        <w:t xml:space="preserve"> Vehicle &amp; Traffic Law § 1192 (2).</w:t>
      </w:r>
    </w:p>
    <w:p>
      <w:pPr>
        <w:pageBreakBefore w:val="false"/>
        <w:spacing w:before="229"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(3).</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40" w:right="2125" w:left="2135" w:header="720" w:footer="720"/>
          <w:titlePg w:val="false"/>
          <w:textDirection w:val="lrTb"/>
        </w:sectPr>
      </w:pPr>
    </w:p>
    <w:p>
      <w:pPr>
        <w:pageBreakBefore w:val="false"/>
        <w:spacing w:before="22" w:after="0" w:line="313"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26"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the death of another person.</w:t>
      </w:r>
    </w:p>
    <w:p>
      <w:pPr>
        <w:pageBreakBefore w:val="false"/>
        <w:spacing w:before="324" w:after="0" w:line="324"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12</w:t>
      </w:r>
      <w:r>
        <w:rPr>
          <w:rFonts w:ascii="Arial" w:hAnsi="Arial" w:eastAsia="Arial"/>
          <w:color w:val="000000"/>
          <w:spacing w:val="-2"/>
          <w:w w:val="100"/>
          <w:sz w:val="28"/>
          <w:vertAlign w:val="baseline"/>
          <w:lang w:val="en-US"/>
        </w:rPr>
        <w:t xml:space="preserve">).]</w:t>
      </w:r>
    </w:p>
    <w:p>
      <w:pPr>
        <w:pageBreakBefore w:val="false"/>
        <w:spacing w:before="660"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17" w:after="501"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 doing so caused the death of another person, then you may, but are not required to, infer that, as a result of such intoxication or impairment, such person operated the motor vehicle in a manner that caused the death of another person.</w:t>
      </w:r>
      <w:r>
        <w:rPr>
          <w:rFonts w:ascii="Arial" w:hAnsi="Arial" w:eastAsia="Arial"/>
          <w:color w:val="000000"/>
          <w:spacing w:val="-2"/>
          <w:w w:val="100"/>
          <w:sz w:val="28"/>
          <w:vertAlign w:val="superscript"/>
          <w:lang w:val="en-US"/>
        </w:rPr>
        <w:t xml:space="preserve">13</w:t>
      </w:r>
      <w:r>
        <w:rPr>
          <w:rFonts w:ascii="Arial" w:hAnsi="Arial" w:eastAsia="Arial"/>
          <w:color w:val="000000"/>
          <w:spacing w:val="-2"/>
          <w:w w:val="100"/>
          <w:sz w:val="17"/>
          <w:vertAlign w:val="baseline"/>
          <w:lang w:val="en-US"/>
        </w:rPr>
        <w:t xml:space="preserve">
</w:t>
      </w:r>
    </w:p>
    <w:p>
      <w:pPr>
        <w:pageBreakBefore w:val="false"/>
        <w:spacing w:before="239" w:after="0" w:line="292"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6.85pt,549.85pt" to="252.05pt,549.8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(4).</w:t>
      </w:r>
    </w:p>
    <w:p>
      <w:pPr>
        <w:pageBreakBefore w:val="false"/>
        <w:spacing w:before="227" w:after="0" w:line="292"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(4-a).</w:t>
      </w:r>
    </w:p>
    <w:p>
      <w:pPr>
        <w:pageBreakBefore w:val="false"/>
        <w:spacing w:before="222" w:after="0" w:line="292"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25" w:after="0" w:line="292"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080" w:right="2123" w:left="2137" w:header="720" w:footer="720"/>
          <w:titlePg w:val="false"/>
          <w:textDirection w:val="lrTb"/>
        </w:sectPr>
      </w:pPr>
    </w:p>
    <w:p>
      <w:pPr>
        <w:pageBreakBefore w:val="false"/>
        <w:spacing w:before="1" w:after="0" w:line="326" w:lineRule="exact"/>
        <w:ind w:right="0" w:left="0" w:firstLine="792"/>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288"/>
          <w:tab w:val="left" w:pos="1080"/>
        </w:tabs>
        <w:spacing w:before="324"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288"/>
          <w:tab w:val="left" w:pos="1080"/>
        </w:tabs>
        <w:spacing w:before="325" w:after="0" w:line="318"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w:t>
      </w:r>
    </w:p>
    <w:p>
      <w:pPr>
        <w:pageBreakBefore w:val="false"/>
        <w:spacing w:before="330"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1" w:after="0" w:line="32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25" w:after="0" w:line="31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32" w:after="0" w:line="321"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24"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numPr>
          <w:ilvl w:val="0"/>
          <w:numId w:val="1"/>
        </w:numPr>
        <w:tabs>
          <w:tab w:val="clear" w:pos="288"/>
          <w:tab w:val="left" w:pos="1080"/>
        </w:tabs>
        <w:spacing w:before="335" w:after="0" w:line="321"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as a result of such intoxication [or impairment by the use of a drug, or impairment by the combined influence of drugs or of alcohol and any drug or drugs], the defendant operated such motor vehicle in a manner that caused the death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28"/>
          <w:vertAlign w:val="baseline"/>
          <w:lang w:val="en-US"/>
        </w:rPr>
        <w:t xml:space="preserve">]</w:t>
      </w:r>
    </w:p>
    <w:p>
      <w:pPr>
        <w:pageBreakBefore w:val="false"/>
        <w:spacing w:before="334" w:after="235" w:line="318" w:lineRule="exact"/>
        <w:ind w:right="0" w:left="792"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the People have proven beyond a reasonable</w:t>
      </w:r>
    </w:p>
    <w:p>
      <w:pPr>
        <w:pageBreakBefore w:val="false"/>
        <w:spacing w:before="246" w:after="0" w:line="292" w:lineRule="exact"/>
        <w:ind w:right="0" w:left="0" w:firstLine="0"/>
        <w:jc w:val="both"/>
        <w:textAlignment w:val="baseline"/>
        <w:rPr>
          <w:rFonts w:ascii="Arial" w:hAnsi="Arial" w:eastAsia="Arial"/>
          <w:color w:val="000000"/>
          <w:spacing w:val="0"/>
          <w:w w:val="100"/>
          <w:sz w:val="24"/>
          <w:vertAlign w:val="baseline"/>
          <w:lang w:val="en-US"/>
        </w:rPr>
      </w:pPr>
      <w:r>
        <w:pict>
          <v:line strokeweight="1.2pt" strokecolor="#000000" from="106.85pt,601.45pt" to="252.05pt,601.45pt" style="position:absolute;mso-position-horizontal-relative:page;mso-position-vertical-relative:page;">
            <v:stroke dashstyle="solid"/>
          </v:line>
        </w:pict>
      </w:r>
      <w:r>
        <w:rPr>
          <w:rFonts w:ascii="Arial" w:hAnsi="Arial" w:eastAsia="Arial"/>
          <w:color w:val="000000"/>
          <w:spacing w:val="0"/>
          <w:w w:val="100"/>
          <w:sz w:val="24"/>
          <w:vertAlign w:val="baseline"/>
          <w:lang w:val="en-US"/>
        </w:rPr>
        <w:t xml:space="preserve">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19" w:after="0" w:line="292" w:lineRule="exact"/>
        <w:ind w:right="0" w:left="0" w:firstLine="792"/>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If the defendant did not admit the additional elements set forth in the special information, those elements need to be added to this list of elements.</w:t>
      </w:r>
    </w:p>
    <w:p>
      <w:pPr>
        <w:pageBreakBefore w:val="false"/>
        <w:spacing w:before="23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080" w:right="2123" w:left="2137" w:header="720" w:footer="720"/>
          <w:titlePg w:val="false"/>
          <w:textDirection w:val="lrTb"/>
        </w:sectPr>
      </w:pPr>
    </w:p>
    <w:p>
      <w:pPr>
        <w:pageBreakBefore w:val="false"/>
        <w:spacing w:before="0" w:after="0" w:line="327"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doubt each of those elements, you must find the defendant guilty of this crime.</w:t>
      </w:r>
    </w:p>
    <w:p>
      <w:pPr>
        <w:pageBreakBefore w:val="false"/>
        <w:spacing w:before="324" w:after="1113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4" w:after="11139" w:line="324" w:lineRule="exact"/>
        <w:sectPr>
          <w:type w:val="nextPage"/>
          <w:pgSz w:w="12240" w:h="15840" w:orient="portrait"/>
          <w:pgMar w:bottom="1024" w:top="1080" w:right="2125" w:left="2135"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024" w:top="1080" w:right="2130" w:left="213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