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body>
    <w:p>
      <w:pPr>
        <w:pageBreakBefore w:val="false"/>
        <w:spacing w:before="2" w:after="0" w:line="331" w:lineRule="exact"/>
        <w:ind w:right="0" w:left="0" w:firstLine="0"/>
        <w:jc w:val="center"/>
        <w:textAlignment w:val="baseline"/>
        <w:rPr>
          <w:rFonts w:ascii="Arial" w:hAnsi="Arial" w:eastAsia="Arial"/>
          <w:b w:val="true"/>
          <w:color w:val="000000"/>
          <w:spacing w:val="0"/>
          <w:w w:val="100"/>
          <w:sz w:val="28"/>
          <w:vertAlign w:val="baseline"/>
          <w:lang w:val="en-US"/>
        </w:rPr>
      </w:pPr>
      <w:r>
        <w:rPr>
          <w:rFonts w:ascii="Arial" w:hAnsi="Arial" w:eastAsia="Arial"/>
          <w:b w:val="true"/>
          <w:color w:val="000000"/>
          <w:spacing w:val="0"/>
          <w:w w:val="100"/>
          <w:sz w:val="28"/>
          <w:vertAlign w:val="baseline"/>
          <w:lang w:val="en-US"/>
        </w:rPr>
        <w:t xml:space="preserve">MURDER IN THE SECOND DEGREE</w:t>
        <w:br/>
      </w:r>
      <w:r>
        <w:rPr>
          <w:rFonts w:ascii="Arial" w:hAnsi="Arial" w:eastAsia="Arial"/>
          <w:b w:val="true"/>
          <w:color w:val="000000"/>
          <w:spacing w:val="0"/>
          <w:w w:val="100"/>
          <w:sz w:val="28"/>
          <w:vertAlign w:val="baseline"/>
          <w:lang w:val="en-US"/>
        </w:rPr>
        <w:t xml:space="preserve">(Felony Murder)</w:t>
        <w:br/>
      </w:r>
      <w:r>
        <w:rPr>
          <w:rFonts w:ascii="Arial" w:hAnsi="Arial" w:eastAsia="Arial"/>
          <w:b w:val="true"/>
          <w:color w:val="000000"/>
          <w:spacing w:val="0"/>
          <w:w w:val="100"/>
          <w:sz w:val="28"/>
          <w:vertAlign w:val="baseline"/>
          <w:lang w:val="en-US"/>
        </w:rPr>
        <w:t xml:space="preserve">Penal Law § 125.25 (3)</w:t>
        <w:br/>
      </w:r>
      <w:r>
        <w:rPr>
          <w:rFonts w:ascii="Arial" w:hAnsi="Arial" w:eastAsia="Arial"/>
          <w:b w:val="true"/>
          <w:color w:val="000000"/>
          <w:spacing w:val="0"/>
          <w:w w:val="100"/>
          <w:sz w:val="28"/>
          <w:vertAlign w:val="baseline"/>
          <w:lang w:val="en-US"/>
        </w:rPr>
        <w:t xml:space="preserve">(Committed on or after Nov. 1, 1984)</w:t>
        <w:br/>
      </w:r>
      <w:r>
        <w:rPr>
          <w:rFonts w:ascii="Arial" w:hAnsi="Arial" w:eastAsia="Arial"/>
          <w:b w:val="true"/>
          <w:color w:val="000000"/>
          <w:spacing w:val="0"/>
          <w:w w:val="100"/>
          <w:sz w:val="28"/>
          <w:vertAlign w:val="baseline"/>
          <w:lang w:val="en-US"/>
        </w:rPr>
        <w:t xml:space="preserve">(Revised Feb. 2016)</w:t>
      </w:r>
      <w:r>
        <w:rPr>
          <w:rFonts w:ascii="Arial" w:hAnsi="Arial" w:eastAsia="Arial"/>
          <w:b w:val="true"/>
          <w:color w:val="000000"/>
          <w:spacing w:val="0"/>
          <w:w w:val="100"/>
          <w:sz w:val="28"/>
          <w:vertAlign w:val="superscript"/>
          <w:lang w:val="en-US"/>
        </w:rPr>
        <w:t xml:space="preserve">1</w:t>
      </w:r>
      <w:r>
        <w:rPr>
          <w:rFonts w:ascii="Arial" w:hAnsi="Arial" w:eastAsia="Arial"/>
          <w:b w:val="true"/>
          <w:color w:val="000000"/>
          <w:spacing w:val="0"/>
          <w:w w:val="100"/>
          <w:sz w:val="17"/>
          <w:vertAlign w:val="baseline"/>
          <w:lang w:val="en-US"/>
        </w:rPr>
        <w:t xml:space="preserve">
</w:t>
      </w:r>
    </w:p>
    <w:p>
      <w:pPr>
        <w:pageBreakBefore w:val="false"/>
        <w:spacing w:before="656" w:after="0" w:line="324" w:lineRule="exact"/>
        <w:ind w:right="0" w:left="0" w:firstLine="0"/>
        <w:jc w:val="center"/>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The (</w:t>
      </w:r>
      <w:r>
        <w:rPr>
          <w:rFonts w:ascii="Arial" w:hAnsi="Arial" w:eastAsia="Arial"/>
          <w:i w:val="true"/>
          <w:color w:val="000000"/>
          <w:spacing w:val="0"/>
          <w:w w:val="100"/>
          <w:sz w:val="28"/>
          <w:u w:val="single"/>
          <w:vertAlign w:val="baseline"/>
          <w:lang w:val="en-US"/>
        </w:rPr>
        <w:t xml:space="preserve">specify</w:t>
      </w:r>
      <w:r>
        <w:rPr>
          <w:rFonts w:ascii="Arial" w:hAnsi="Arial" w:eastAsia="Arial"/>
          <w:color w:val="000000"/>
          <w:spacing w:val="0"/>
          <w:w w:val="100"/>
          <w:sz w:val="28"/>
          <w:vertAlign w:val="baseline"/>
          <w:lang w:val="en-US"/>
        </w:rPr>
        <w:t xml:space="preserve">) count is Murder in the Second Degree.</w:t>
      </w:r>
    </w:p>
    <w:p>
      <w:pPr>
        <w:pageBreakBefore w:val="false"/>
        <w:spacing w:before="319" w:after="0" w:line="324"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Under our law, a person is guilty of Murder in the Second Degree when, in the course of and in furtherance of the commission or attempted commission of </w:t>
      </w:r>
      <w:r>
        <w:rPr>
          <w:rFonts w:ascii="Arial" w:hAnsi="Arial" w:eastAsia="Arial"/>
          <w:i w:val="true"/>
          <w:color w:val="000000"/>
          <w:spacing w:val="0"/>
          <w:w w:val="100"/>
          <w:sz w:val="23"/>
          <w:u w:val="single"/>
          <w:vertAlign w:val="baseline"/>
          <w:lang w:val="en-US"/>
        </w:rPr>
        <w:t xml:space="preserve"> (name of felony charged) </w:t>
      </w:r>
      <w:r>
        <w:rPr>
          <w:rFonts w:ascii="Arial" w:hAnsi="Arial" w:eastAsia="Arial"/>
          <w:color w:val="000000"/>
          <w:spacing w:val="0"/>
          <w:w w:val="100"/>
          <w:sz w:val="28"/>
          <w:vertAlign w:val="baseline"/>
          <w:lang w:val="en-US"/>
        </w:rPr>
        <w:t xml:space="preserve"> [</w:t>
      </w:r>
      <w:r>
        <w:rPr>
          <w:rFonts w:ascii="Arial" w:hAnsi="Arial" w:eastAsia="Arial"/>
          <w:i w:val="true"/>
          <w:color w:val="000000"/>
          <w:spacing w:val="0"/>
          <w:w w:val="100"/>
          <w:sz w:val="28"/>
          <w:vertAlign w:val="baseline"/>
          <w:lang w:val="en-US"/>
        </w:rPr>
        <w:t xml:space="preserve">or </w:t>
      </w:r>
      <w:r>
        <w:rPr>
          <w:rFonts w:ascii="Arial" w:hAnsi="Arial" w:eastAsia="Arial"/>
          <w:color w:val="000000"/>
          <w:spacing w:val="0"/>
          <w:w w:val="100"/>
          <w:sz w:val="28"/>
          <w:vertAlign w:val="baseline"/>
          <w:lang w:val="en-US"/>
        </w:rPr>
        <w:t xml:space="preserve">of immediate flight therefrom], that person [</w:t>
      </w:r>
      <w:r>
        <w:rPr>
          <w:rFonts w:ascii="Arial" w:hAnsi="Arial" w:eastAsia="Arial"/>
          <w:i w:val="true"/>
          <w:color w:val="000000"/>
          <w:spacing w:val="0"/>
          <w:w w:val="100"/>
          <w:sz w:val="28"/>
          <w:vertAlign w:val="baseline"/>
          <w:lang w:val="en-US"/>
        </w:rPr>
        <w:t xml:space="preserve">or </w:t>
      </w:r>
      <w:r>
        <w:rPr>
          <w:rFonts w:ascii="Arial" w:hAnsi="Arial" w:eastAsia="Arial"/>
          <w:color w:val="000000"/>
          <w:spacing w:val="0"/>
          <w:w w:val="100"/>
          <w:sz w:val="28"/>
          <w:vertAlign w:val="baseline"/>
          <w:lang w:val="en-US"/>
        </w:rPr>
        <w:t xml:space="preserve">another participant if there be any] causes the death of a person other than one of the participants.</w:t>
      </w:r>
    </w:p>
    <w:p>
      <w:pPr>
        <w:pageBreakBefore w:val="false"/>
        <w:spacing w:before="320" w:after="993" w:line="324"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A death caused in the course of the commission or attempted commission of (</w:t>
      </w:r>
      <w:r>
        <w:rPr>
          <w:rFonts w:ascii="Arial" w:hAnsi="Arial" w:eastAsia="Arial"/>
          <w:i w:val="true"/>
          <w:color w:val="000000"/>
          <w:spacing w:val="0"/>
          <w:w w:val="100"/>
          <w:sz w:val="28"/>
          <w:u w:val="single"/>
          <w:vertAlign w:val="baseline"/>
          <w:lang w:val="en-US"/>
        </w:rPr>
        <w:t xml:space="preserve">specify name of crime</w:t>
      </w:r>
      <w:r>
        <w:rPr>
          <w:rFonts w:ascii="Arial" w:hAnsi="Arial" w:eastAsia="Arial"/>
          <w:color w:val="000000"/>
          <w:spacing w:val="0"/>
          <w:w w:val="100"/>
          <w:sz w:val="28"/>
          <w:vertAlign w:val="baseline"/>
          <w:lang w:val="en-US"/>
        </w:rPr>
        <w:t xml:space="preserve">) is “in furtherance of” the commission or attempted commission of that crime when there is a logical nexus, that is, a logical link between the commission or attempted commission of that crime and the death, and the death was not just coincidental to the commission or attempted commission of that crime.</w:t>
      </w:r>
      <w:r>
        <w:rPr>
          <w:rFonts w:ascii="Arial" w:hAnsi="Arial" w:eastAsia="Arial"/>
          <w:color w:val="000000"/>
          <w:spacing w:val="0"/>
          <w:w w:val="100"/>
          <w:sz w:val="28"/>
          <w:vertAlign w:val="superscript"/>
          <w:lang w:val="en-US"/>
        </w:rPr>
        <w:t xml:space="preserve">2</w:t>
      </w:r>
      <w:r>
        <w:rPr>
          <w:rFonts w:ascii="Arial" w:hAnsi="Arial" w:eastAsia="Arial"/>
          <w:color w:val="000000"/>
          <w:spacing w:val="0"/>
          <w:w w:val="100"/>
          <w:sz w:val="17"/>
          <w:vertAlign w:val="baseline"/>
          <w:lang w:val="en-US"/>
        </w:rPr>
        <w:t xml:space="preserve">
</w:t>
      </w:r>
    </w:p>
    <w:p>
      <w:pPr>
        <w:pageBreakBefore w:val="false"/>
        <w:spacing w:before="264" w:after="0" w:line="276" w:lineRule="exact"/>
        <w:ind w:right="0" w:left="0" w:firstLine="720"/>
        <w:jc w:val="both"/>
        <w:textAlignment w:val="baseline"/>
        <w:rPr>
          <w:rFonts w:ascii="Arial" w:hAnsi="Arial" w:eastAsia="Arial"/>
          <w:color w:val="000000"/>
          <w:spacing w:val="0"/>
          <w:w w:val="100"/>
          <w:sz w:val="14"/>
          <w:vertAlign w:val="superscript"/>
          <w:lang w:val="en-US"/>
        </w:rPr>
      </w:pPr>
      <w:r>
        <w:pict>
          <v:line strokeweight="1.2pt" strokecolor="#000000" from="108pt,478.8pt" to="252.05pt,478.8pt" style="position:absolute;mso-position-horizontal-relative:page;mso-position-vertical-relative:page;">
            <v:stroke dashstyle="solid"/>
          </v:line>
        </w:pict>
      </w:r>
      <w:r>
        <w:rPr>
          <w:rFonts w:ascii="Arial" w:hAnsi="Arial" w:eastAsia="Arial"/>
          <w:color w:val="000000"/>
          <w:spacing w:val="0"/>
          <w:w w:val="100"/>
          <w:sz w:val="14"/>
          <w:vertAlign w:val="superscript"/>
          <w:lang w:val="en-US"/>
        </w:rPr>
        <w:t xml:space="preserve">1</w:t>
      </w:r>
      <w:r>
        <w:rPr>
          <w:rFonts w:ascii="Arial" w:hAnsi="Arial" w:eastAsia="Arial"/>
          <w:color w:val="000000"/>
          <w:spacing w:val="0"/>
          <w:w w:val="100"/>
          <w:sz w:val="24"/>
          <w:vertAlign w:val="baseline"/>
          <w:lang w:val="en-US"/>
        </w:rPr>
        <w:t xml:space="preserve"> The February, 2016 revision was for the purpose of adding a definition of “in furtherance of” in accord with </w:t>
      </w:r>
      <w:r>
        <w:rPr>
          <w:rFonts w:ascii="Arial" w:hAnsi="Arial" w:eastAsia="Arial"/>
          <w:i w:val="true"/>
          <w:color w:val="000000"/>
          <w:spacing w:val="0"/>
          <w:w w:val="100"/>
          <w:sz w:val="24"/>
          <w:vertAlign w:val="baseline"/>
          <w:lang w:val="en-US"/>
        </w:rPr>
        <w:t xml:space="preserve">People v Henderson</w:t>
      </w:r>
      <w:r>
        <w:rPr>
          <w:rFonts w:ascii="Arial" w:hAnsi="Arial" w:eastAsia="Arial"/>
          <w:color w:val="000000"/>
          <w:spacing w:val="0"/>
          <w:w w:val="100"/>
          <w:sz w:val="24"/>
          <w:vertAlign w:val="baseline"/>
          <w:lang w:val="en-US"/>
        </w:rPr>
        <w:t xml:space="preserve">, 25 NY3d 534 (2015). </w:t>
      </w:r>
      <w:r>
        <w:rPr>
          <w:rFonts w:ascii="Arial" w:hAnsi="Arial" w:eastAsia="Arial"/>
          <w:i w:val="true"/>
          <w:color w:val="000000"/>
          <w:spacing w:val="0"/>
          <w:w w:val="100"/>
          <w:sz w:val="24"/>
          <w:vertAlign w:val="baseline"/>
          <w:lang w:val="en-US"/>
        </w:rPr>
        <w:t xml:space="preserve">See </w:t>
      </w:r>
      <w:r>
        <w:rPr>
          <w:rFonts w:ascii="Arial" w:hAnsi="Arial" w:eastAsia="Arial"/>
          <w:color w:val="000000"/>
          <w:spacing w:val="0"/>
          <w:w w:val="100"/>
          <w:sz w:val="24"/>
          <w:vertAlign w:val="baseline"/>
          <w:lang w:val="en-US"/>
        </w:rPr>
        <w:t xml:space="preserve">footnote two.</w:t>
      </w:r>
    </w:p>
    <w:p>
      <w:pPr>
        <w:pageBreakBefore w:val="false"/>
        <w:spacing w:before="245" w:after="0" w:line="276" w:lineRule="exact"/>
        <w:ind w:right="0" w:left="0" w:firstLine="720"/>
        <w:jc w:val="both"/>
        <w:textAlignment w:val="baseline"/>
        <w:rPr>
          <w:rFonts w:ascii="Arial" w:hAnsi="Arial" w:eastAsia="Arial"/>
          <w:color w:val="000000"/>
          <w:spacing w:val="0"/>
          <w:w w:val="100"/>
          <w:sz w:val="14"/>
          <w:vertAlign w:val="superscript"/>
          <w:lang w:val="en-US"/>
        </w:rPr>
      </w:pPr>
      <w:r>
        <w:rPr>
          <w:rFonts w:ascii="Arial" w:hAnsi="Arial" w:eastAsia="Arial"/>
          <w:color w:val="000000"/>
          <w:spacing w:val="0"/>
          <w:w w:val="100"/>
          <w:sz w:val="14"/>
          <w:vertAlign w:val="superscript"/>
          <w:lang w:val="en-US"/>
        </w:rPr>
        <w:t xml:space="preserve">2</w:t>
      </w:r>
      <w:r>
        <w:rPr>
          <w:rFonts w:ascii="Arial" w:hAnsi="Arial" w:eastAsia="Arial"/>
          <w:i w:val="true"/>
          <w:color w:val="000000"/>
          <w:spacing w:val="0"/>
          <w:w w:val="100"/>
          <w:sz w:val="24"/>
          <w:vertAlign w:val="baseline"/>
          <w:lang w:val="en-US"/>
        </w:rPr>
        <w:t xml:space="preserve"> See People v Henderson</w:t>
      </w:r>
      <w:r>
        <w:rPr>
          <w:rFonts w:ascii="Arial" w:hAnsi="Arial" w:eastAsia="Arial"/>
          <w:color w:val="000000"/>
          <w:spacing w:val="0"/>
          <w:w w:val="100"/>
          <w:sz w:val="24"/>
          <w:vertAlign w:val="baseline"/>
          <w:lang w:val="en-US"/>
        </w:rPr>
        <w:t xml:space="preserve">, 25 NY3d 534, 541 (2015), wherein the court explains: "[The defendant] asserts that the statutory language ‘in furtherance of' requires that the death be caused in order to advance or promote the underlying felony. We have not interpreted ‘in furtherance of' so narrowly. The felony murder statute is intended to punish a perpetrator for a death he or she caused during the commission of a felony, but not a death that is coincidental to the felony. The ‘in furtherance of' element requires ‘a logical nexus between a murder and a felony'. Here, there is a clear logical nexus between defendant's felony of unlawfully entering the victim's apartment to assault him and the homicide, which was certainly not coincidental" (Internal citations omitted); </w:t>
      </w:r>
      <w:r>
        <w:rPr>
          <w:rFonts w:ascii="Arial" w:hAnsi="Arial" w:eastAsia="Arial"/>
          <w:i w:val="true"/>
          <w:color w:val="000000"/>
          <w:spacing w:val="0"/>
          <w:w w:val="100"/>
          <w:sz w:val="24"/>
          <w:vertAlign w:val="baseline"/>
          <w:lang w:val="en-US"/>
        </w:rPr>
        <w:t xml:space="preserve">see also People v Elling</w:t>
      </w:r>
      <w:r>
        <w:rPr>
          <w:rFonts w:ascii="Arial" w:hAnsi="Arial" w:eastAsia="Arial"/>
          <w:color w:val="000000"/>
          <w:spacing w:val="0"/>
          <w:w w:val="100"/>
          <w:sz w:val="24"/>
          <w:vertAlign w:val="baseline"/>
          <w:lang w:val="en-US"/>
        </w:rPr>
        <w:t xml:space="preserve">, 289 NY 419, 422 (1943) (finding that a killing was not in furtherance of the underlying felony where it was done for "a reason personal" to the one defendant and the other defendant had tried to stop it).</w:t>
      </w:r>
    </w:p>
    <w:p>
      <w:pPr>
        <w:sectPr>
          <w:type w:val="nextPage"/>
          <w:pgSz w:w="12240" w:h="15840" w:orient="portrait"/>
          <w:pgMar w:bottom="664" w:top="1080" w:right="2120" w:left="2160" w:header="720" w:footer="720"/>
          <w:titlePg w:val="false"/>
          <w:textDirection w:val="lrTb"/>
        </w:sectPr>
      </w:pPr>
    </w:p>
    <w:p>
      <w:pPr>
        <w:pageBreakBefore w:val="false"/>
        <w:spacing w:before="6" w:after="0" w:line="324" w:lineRule="exact"/>
        <w:ind w:right="0" w:left="72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w:t>
      </w:r>
      <w:r>
        <w:rPr>
          <w:rFonts w:ascii="Arial" w:hAnsi="Arial" w:eastAsia="Arial"/>
          <w:i w:val="true"/>
          <w:color w:val="000000"/>
          <w:spacing w:val="0"/>
          <w:w w:val="100"/>
          <w:sz w:val="28"/>
          <w:vertAlign w:val="baseline"/>
          <w:lang w:val="en-US"/>
        </w:rPr>
        <w:t xml:space="preserve">NOTE: Add if there are multiple participants in the underlying felony:</w:t>
      </w:r>
    </w:p>
    <w:p>
      <w:pPr>
        <w:pageBreakBefore w:val="false"/>
        <w:spacing w:before="0" w:after="0" w:line="323" w:lineRule="exact"/>
        <w:ind w:right="0" w:left="72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Under that law, when, in the course of and in furtherance of the commission (</w:t>
      </w:r>
      <w:r>
        <w:rPr>
          <w:rFonts w:ascii="Arial" w:hAnsi="Arial" w:eastAsia="Arial"/>
          <w:i w:val="true"/>
          <w:color w:val="000000"/>
          <w:spacing w:val="0"/>
          <w:w w:val="100"/>
          <w:sz w:val="28"/>
          <w:vertAlign w:val="baseline"/>
          <w:lang w:val="en-US"/>
        </w:rPr>
        <w:t xml:space="preserve">or </w:t>
      </w:r>
      <w:r>
        <w:rPr>
          <w:rFonts w:ascii="Arial" w:hAnsi="Arial" w:eastAsia="Arial"/>
          <w:color w:val="000000"/>
          <w:spacing w:val="0"/>
          <w:w w:val="100"/>
          <w:sz w:val="28"/>
          <w:vertAlign w:val="baseline"/>
          <w:lang w:val="en-US"/>
        </w:rPr>
        <w:t xml:space="preserve">attempted commission) of </w:t>
      </w:r>
      <w:r>
        <w:rPr>
          <w:rFonts w:ascii="Arial" w:hAnsi="Arial" w:eastAsia="Arial"/>
          <w:i w:val="true"/>
          <w:color w:val="000000"/>
          <w:spacing w:val="0"/>
          <w:w w:val="100"/>
          <w:sz w:val="23"/>
          <w:u w:val="single"/>
          <w:vertAlign w:val="baseline"/>
          <w:lang w:val="en-US"/>
        </w:rPr>
        <w:t xml:space="preserve">(name of felony charged)</w:t>
      </w:r>
      <w:r>
        <w:rPr>
          <w:rFonts w:ascii="Arial" w:hAnsi="Arial" w:eastAsia="Arial"/>
          <w:color w:val="000000"/>
          <w:spacing w:val="0"/>
          <w:w w:val="100"/>
          <w:sz w:val="28"/>
          <w:vertAlign w:val="baseline"/>
          <w:lang w:val="en-US"/>
        </w:rPr>
        <w:t xml:space="preserve"> (</w:t>
      </w:r>
      <w:r>
        <w:rPr>
          <w:rFonts w:ascii="Arial" w:hAnsi="Arial" w:eastAsia="Arial"/>
          <w:i w:val="true"/>
          <w:color w:val="000000"/>
          <w:spacing w:val="0"/>
          <w:w w:val="100"/>
          <w:sz w:val="28"/>
          <w:vertAlign w:val="baseline"/>
          <w:lang w:val="en-US"/>
        </w:rPr>
        <w:t xml:space="preserve">or </w:t>
      </w:r>
      <w:r>
        <w:rPr>
          <w:rFonts w:ascii="Arial" w:hAnsi="Arial" w:eastAsia="Arial"/>
          <w:color w:val="000000"/>
          <w:spacing w:val="0"/>
          <w:w w:val="100"/>
          <w:sz w:val="28"/>
          <w:vertAlign w:val="baseline"/>
          <w:lang w:val="en-US"/>
        </w:rPr>
        <w:t xml:space="preserve">in immediate flight therefrom), a participant in the commission (</w:t>
      </w:r>
      <w:r>
        <w:rPr>
          <w:rFonts w:ascii="Arial" w:hAnsi="Arial" w:eastAsia="Arial"/>
          <w:i w:val="true"/>
          <w:color w:val="000000"/>
          <w:spacing w:val="0"/>
          <w:w w:val="100"/>
          <w:sz w:val="28"/>
          <w:vertAlign w:val="baseline"/>
          <w:lang w:val="en-US"/>
        </w:rPr>
        <w:t xml:space="preserve">or </w:t>
      </w:r>
      <w:r>
        <w:rPr>
          <w:rFonts w:ascii="Arial" w:hAnsi="Arial" w:eastAsia="Arial"/>
          <w:color w:val="000000"/>
          <w:spacing w:val="0"/>
          <w:w w:val="100"/>
          <w:sz w:val="28"/>
          <w:vertAlign w:val="baseline"/>
          <w:lang w:val="en-US"/>
        </w:rPr>
        <w:t xml:space="preserve">attempted commission) of that felony causes the death of a non-participant, all the participants--the one who caused the death as well as the other participants in the felony--are guilty of Murder in the Second Degree.]</w:t>
      </w:r>
    </w:p>
    <w:p>
      <w:pPr>
        <w:pageBreakBefore w:val="false"/>
        <w:spacing w:before="339" w:after="0" w:line="313"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The following term(s) used in that definition has/have a special meaning: </w:t>
      </w:r>
      <w:r>
        <w:rPr>
          <w:rFonts w:ascii="Arial" w:hAnsi="Arial" w:eastAsia="Arial"/>
          <w:color w:val="000000"/>
          <w:spacing w:val="0"/>
          <w:w w:val="100"/>
          <w:sz w:val="28"/>
          <w:vertAlign w:val="superscript"/>
          <w:lang w:val="en-US"/>
        </w:rPr>
        <w:t xml:space="preserve">3</w:t>
      </w:r>
      <w:r>
        <w:rPr>
          <w:rFonts w:ascii="Arial" w:hAnsi="Arial" w:eastAsia="Arial"/>
          <w:color w:val="000000"/>
          <w:spacing w:val="0"/>
          <w:w w:val="100"/>
          <w:sz w:val="17"/>
          <w:vertAlign w:val="baseline"/>
          <w:lang w:val="en-US"/>
        </w:rPr>
        <w:t xml:space="preserve">
</w:t>
      </w:r>
    </w:p>
    <w:p>
      <w:pPr>
        <w:pageBreakBefore w:val="false"/>
        <w:spacing w:before="331" w:after="0" w:line="324" w:lineRule="exact"/>
        <w:ind w:right="0" w:left="720" w:firstLine="0"/>
        <w:jc w:val="left"/>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A person is guilty of (</w:t>
      </w:r>
      <w:r>
        <w:rPr>
          <w:rFonts w:ascii="Arial" w:hAnsi="Arial" w:eastAsia="Arial"/>
          <w:i w:val="true"/>
          <w:color w:val="000000"/>
          <w:spacing w:val="0"/>
          <w:w w:val="100"/>
          <w:sz w:val="28"/>
          <w:u w:val="single"/>
          <w:vertAlign w:val="baseline"/>
          <w:lang w:val="en-US"/>
        </w:rPr>
        <w:t xml:space="preserve">specify and define</w:t>
      </w:r>
      <w:r>
        <w:rPr>
          <w:rFonts w:ascii="Arial" w:hAnsi="Arial" w:eastAsia="Arial"/>
          <w:color w:val="000000"/>
          <w:spacing w:val="0"/>
          <w:w w:val="100"/>
          <w:sz w:val="28"/>
          <w:vertAlign w:val="baseline"/>
          <w:lang w:val="en-US"/>
        </w:rPr>
        <w:t xml:space="preserve">).</w:t>
      </w:r>
      <w:r>
        <w:rPr>
          <w:rFonts w:ascii="Arial" w:hAnsi="Arial" w:eastAsia="Arial"/>
          <w:color w:val="000000"/>
          <w:spacing w:val="0"/>
          <w:w w:val="100"/>
          <w:sz w:val="28"/>
          <w:u w:val="single"/>
          <w:vertAlign w:val="baseline"/>
          <w:lang w:val="en-US"/>
        </w:rPr>
        <w:t xml:space="preserve">
</w:t>
      </w:r>
    </w:p>
    <w:p>
      <w:pPr>
        <w:pageBreakBefore w:val="false"/>
        <w:spacing w:before="322" w:after="0" w:line="324" w:lineRule="exact"/>
        <w:ind w:right="0" w:left="720" w:firstLine="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[Define </w:t>
      </w:r>
      <w:r>
        <w:rPr>
          <w:rFonts w:ascii="Arial" w:hAnsi="Arial" w:eastAsia="Arial"/>
          <w:i w:val="true"/>
          <w:color w:val="000000"/>
          <w:spacing w:val="0"/>
          <w:w w:val="100"/>
          <w:sz w:val="28"/>
          <w:vertAlign w:val="baseline"/>
          <w:lang w:val="en-US"/>
        </w:rPr>
        <w:t xml:space="preserve">where appropriate:</w:t>
      </w:r>
    </w:p>
    <w:p>
      <w:pPr>
        <w:pageBreakBefore w:val="false"/>
        <w:spacing w:before="0" w:after="0" w:line="323" w:lineRule="exact"/>
        <w:ind w:right="0" w:left="0" w:firstLine="720"/>
        <w:jc w:val="both"/>
        <w:textAlignment w:val="baseline"/>
        <w:rPr>
          <w:rFonts w:ascii="Arial" w:hAnsi="Arial" w:eastAsia="Arial"/>
          <w:color w:val="000000"/>
          <w:spacing w:val="-3"/>
          <w:w w:val="100"/>
          <w:sz w:val="28"/>
          <w:vertAlign w:val="baseline"/>
          <w:lang w:val="en-US"/>
        </w:rPr>
      </w:pPr>
      <w:r>
        <w:rPr>
          <w:rFonts w:ascii="Arial" w:hAnsi="Arial" w:eastAsia="Arial"/>
          <w:color w:val="000000"/>
          <w:spacing w:val="-3"/>
          <w:w w:val="100"/>
          <w:sz w:val="28"/>
          <w:vertAlign w:val="baseline"/>
          <w:lang w:val="en-US"/>
        </w:rPr>
        <w:t xml:space="preserve">In determining whether a person is in IMMEDIATE FLIGHT from the commission </w:t>
      </w:r>
      <w:r>
        <w:rPr>
          <w:rFonts w:ascii="Arial" w:hAnsi="Arial" w:eastAsia="Arial"/>
          <w:i w:val="true"/>
          <w:color w:val="000000"/>
          <w:spacing w:val="-3"/>
          <w:w w:val="100"/>
          <w:sz w:val="28"/>
          <w:vertAlign w:val="baseline"/>
          <w:lang w:val="en-US"/>
        </w:rPr>
        <w:t xml:space="preserve">or </w:t>
      </w:r>
      <w:r>
        <w:rPr>
          <w:rFonts w:ascii="Arial" w:hAnsi="Arial" w:eastAsia="Arial"/>
          <w:color w:val="000000"/>
          <w:spacing w:val="-3"/>
          <w:w w:val="100"/>
          <w:sz w:val="28"/>
          <w:vertAlign w:val="baseline"/>
          <w:lang w:val="en-US"/>
        </w:rPr>
        <w:t xml:space="preserve">attempted commission of </w:t>
      </w:r>
      <w:r>
        <w:rPr>
          <w:rFonts w:ascii="Arial" w:hAnsi="Arial" w:eastAsia="Arial"/>
          <w:i w:val="true"/>
          <w:color w:val="000000"/>
          <w:spacing w:val="-3"/>
          <w:w w:val="100"/>
          <w:sz w:val="23"/>
          <w:u w:val="single"/>
          <w:vertAlign w:val="baseline"/>
          <w:lang w:val="en-US"/>
        </w:rPr>
        <w:t xml:space="preserve">(name of felony)</w:t>
      </w:r>
      <w:r>
        <w:rPr>
          <w:rFonts w:ascii="Arial" w:hAnsi="Arial" w:eastAsia="Arial"/>
          <w:color w:val="000000"/>
          <w:spacing w:val="-3"/>
          <w:w w:val="100"/>
          <w:sz w:val="28"/>
          <w:vertAlign w:val="baseline"/>
          <w:lang w:val="en-US"/>
        </w:rPr>
        <w:t xml:space="preserve">,</w:t>
      </w:r>
      <w:r>
        <w:rPr>
          <w:rFonts w:ascii="Arial" w:hAnsi="Arial" w:eastAsia="Arial"/>
          <w:color w:val="000000"/>
          <w:spacing w:val="-3"/>
          <w:w w:val="100"/>
          <w:sz w:val="28"/>
          <w:u w:val="single"/>
          <w:vertAlign w:val="baseline"/>
          <w:lang w:val="en-US"/>
        </w:rPr>
        <w:t xml:space="preserve"> </w:t>
      </w:r>
      <w:r>
        <w:rPr>
          <w:rFonts w:ascii="Arial" w:hAnsi="Arial" w:eastAsia="Arial"/>
          <w:color w:val="000000"/>
          <w:spacing w:val="-3"/>
          <w:w w:val="100"/>
          <w:sz w:val="28"/>
          <w:vertAlign w:val="baseline"/>
          <w:lang w:val="en-US"/>
        </w:rPr>
        <w:t xml:space="preserve">you may consider: (1) the distance, if any, between the location of the </w:t>
      </w:r>
      <w:r>
        <w:rPr>
          <w:rFonts w:ascii="Arial" w:hAnsi="Arial" w:eastAsia="Arial"/>
          <w:i w:val="true"/>
          <w:color w:val="000000"/>
          <w:spacing w:val="-3"/>
          <w:w w:val="100"/>
          <w:sz w:val="23"/>
          <w:u w:val="single"/>
          <w:vertAlign w:val="baseline"/>
          <w:lang w:val="en-US"/>
        </w:rPr>
        <w:t xml:space="preserve">(name of felony) </w:t>
      </w:r>
      <w:r>
        <w:rPr>
          <w:rFonts w:ascii="Arial" w:hAnsi="Arial" w:eastAsia="Arial"/>
          <w:color w:val="000000"/>
          <w:spacing w:val="-3"/>
          <w:w w:val="100"/>
          <w:sz w:val="28"/>
          <w:vertAlign w:val="baseline"/>
          <w:lang w:val="en-US"/>
        </w:rPr>
        <w:t xml:space="preserve"> and the location where death was caused; (2) the interval of time, if any, between the commission (</w:t>
      </w:r>
      <w:r>
        <w:rPr>
          <w:rFonts w:ascii="Arial" w:hAnsi="Arial" w:eastAsia="Arial"/>
          <w:i w:val="true"/>
          <w:color w:val="000000"/>
          <w:spacing w:val="-3"/>
          <w:w w:val="100"/>
          <w:sz w:val="28"/>
          <w:vertAlign w:val="baseline"/>
          <w:lang w:val="en-US"/>
        </w:rPr>
        <w:t xml:space="preserve">or </w:t>
      </w:r>
      <w:r>
        <w:rPr>
          <w:rFonts w:ascii="Arial" w:hAnsi="Arial" w:eastAsia="Arial"/>
          <w:color w:val="000000"/>
          <w:spacing w:val="-3"/>
          <w:w w:val="100"/>
          <w:sz w:val="28"/>
          <w:vertAlign w:val="baseline"/>
          <w:lang w:val="en-US"/>
        </w:rPr>
        <w:t xml:space="preserve">attempted commission) of the </w:t>
      </w:r>
      <w:r>
        <w:rPr>
          <w:rFonts w:ascii="Arial" w:hAnsi="Arial" w:eastAsia="Arial"/>
          <w:i w:val="true"/>
          <w:color w:val="000000"/>
          <w:spacing w:val="-3"/>
          <w:w w:val="100"/>
          <w:sz w:val="23"/>
          <w:u w:val="single"/>
          <w:vertAlign w:val="baseline"/>
          <w:lang w:val="en-US"/>
        </w:rPr>
        <w:t xml:space="preserve">(name of felony) </w:t>
      </w:r>
      <w:r>
        <w:rPr>
          <w:rFonts w:ascii="Arial" w:hAnsi="Arial" w:eastAsia="Arial"/>
          <w:color w:val="000000"/>
          <w:spacing w:val="-3"/>
          <w:w w:val="100"/>
          <w:sz w:val="28"/>
          <w:vertAlign w:val="baseline"/>
          <w:lang w:val="en-US"/>
        </w:rPr>
        <w:t xml:space="preserve"> and the causing of the death; (3) whether (police, security personnel, citizens) were in close pursuit at the time the death was caused; (4) whether such person possessed fruits of the </w:t>
      </w:r>
      <w:r>
        <w:rPr>
          <w:rFonts w:ascii="Arial" w:hAnsi="Arial" w:eastAsia="Arial"/>
          <w:i w:val="true"/>
          <w:color w:val="000000"/>
          <w:spacing w:val="-3"/>
          <w:w w:val="100"/>
          <w:sz w:val="23"/>
          <w:u w:val="single"/>
          <w:vertAlign w:val="baseline"/>
          <w:lang w:val="en-US"/>
        </w:rPr>
        <w:t xml:space="preserve">(name of felony) </w:t>
      </w:r>
      <w:r>
        <w:rPr>
          <w:rFonts w:ascii="Arial" w:hAnsi="Arial" w:eastAsia="Arial"/>
          <w:color w:val="000000"/>
          <w:spacing w:val="-3"/>
          <w:w w:val="100"/>
          <w:sz w:val="28"/>
          <w:vertAlign w:val="baseline"/>
          <w:lang w:val="en-US"/>
        </w:rPr>
        <w:t xml:space="preserve"> at the time the death was caused; and (5) whether such person had reached a place of temporary safety before the death was caused.]</w:t>
      </w:r>
      <w:r>
        <w:rPr>
          <w:rFonts w:ascii="Arial" w:hAnsi="Arial" w:eastAsia="Arial"/>
          <w:color w:val="000000"/>
          <w:spacing w:val="-3"/>
          <w:w w:val="100"/>
          <w:sz w:val="28"/>
          <w:vertAlign w:val="superscript"/>
          <w:lang w:val="en-US"/>
        </w:rPr>
        <w:t xml:space="preserve">4</w:t>
      </w:r>
      <w:r>
        <w:rPr>
          <w:rFonts w:ascii="Arial" w:hAnsi="Arial" w:eastAsia="Arial"/>
          <w:color w:val="000000"/>
          <w:spacing w:val="-3"/>
          <w:w w:val="100"/>
          <w:sz w:val="17"/>
          <w:vertAlign w:val="baseline"/>
          <w:lang w:val="en-US"/>
        </w:rPr>
        <w:t xml:space="preserve">
</w:t>
      </w:r>
    </w:p>
    <w:p>
      <w:pPr>
        <w:pageBreakBefore w:val="false"/>
        <w:spacing w:before="332" w:after="1233" w:line="324" w:lineRule="exact"/>
        <w:ind w:right="0" w:left="0" w:firstLine="720"/>
        <w:jc w:val="both"/>
        <w:textAlignment w:val="baseline"/>
        <w:rPr>
          <w:rFonts w:ascii="Arial" w:hAnsi="Arial" w:eastAsia="Arial"/>
          <w:color w:val="000000"/>
          <w:spacing w:val="-3"/>
          <w:w w:val="100"/>
          <w:sz w:val="28"/>
          <w:vertAlign w:val="baseline"/>
          <w:lang w:val="en-US"/>
        </w:rPr>
      </w:pPr>
      <w:r>
        <w:rPr>
          <w:rFonts w:ascii="Arial" w:hAnsi="Arial" w:eastAsia="Arial"/>
          <w:color w:val="000000"/>
          <w:spacing w:val="-3"/>
          <w:w w:val="100"/>
          <w:sz w:val="28"/>
          <w:vertAlign w:val="baseline"/>
          <w:lang w:val="en-US"/>
        </w:rPr>
        <w:t xml:space="preserve">In order for you to find the defendant guilty of this crime, the People are required to prove, from all of the evidence in the case, beyond a reasonable doubt, both of the following two elements:</w:t>
      </w:r>
    </w:p>
    <w:p>
      <w:pPr>
        <w:pageBreakBefore w:val="false"/>
        <w:spacing w:before="256" w:after="0" w:line="276" w:lineRule="exact"/>
        <w:ind w:right="0" w:left="0" w:firstLine="720"/>
        <w:jc w:val="both"/>
        <w:textAlignment w:val="baseline"/>
        <w:rPr>
          <w:rFonts w:ascii="Arial" w:hAnsi="Arial" w:eastAsia="Arial"/>
          <w:color w:val="000000"/>
          <w:spacing w:val="0"/>
          <w:w w:val="100"/>
          <w:sz w:val="17"/>
          <w:vertAlign w:val="baseline"/>
          <w:lang w:val="en-US"/>
        </w:rPr>
      </w:pPr>
      <w:r>
        <w:pict>
          <v:line strokeweight="1.2pt" strokecolor="#000000" from="107.75pt,635.3pt" to="252.05pt,635.3pt" style="position:absolute;mso-position-horizontal-relative:page;mso-position-vertical-relative:page;">
            <v:stroke dashstyle="solid"/>
          </v:line>
        </w:pict>
      </w:r>
      <w:r>
        <w:rPr>
          <w:rFonts w:ascii="Arial" w:hAnsi="Arial" w:eastAsia="Arial"/>
          <w:color w:val="000000"/>
          <w:spacing w:val="0"/>
          <w:w w:val="100"/>
          <w:sz w:val="17"/>
          <w:vertAlign w:val="baseline"/>
          <w:lang w:val="en-US"/>
        </w:rPr>
        <w:t xml:space="preserve">3 </w:t>
      </w:r>
      <w:r>
        <w:rPr>
          <w:rFonts w:ascii="Arial" w:hAnsi="Arial" w:eastAsia="Arial"/>
          <w:color w:val="000000"/>
          <w:spacing w:val="0"/>
          <w:w w:val="100"/>
          <w:sz w:val="24"/>
          <w:vertAlign w:val="baseline"/>
          <w:lang w:val="en-US"/>
        </w:rPr>
        <w:t xml:space="preserve">If causation, "death," or "person" is in issue, see Additional Charges at the end of the list of charges for this Penal Law article 125.</w:t>
      </w:r>
    </w:p>
    <w:p>
      <w:pPr>
        <w:pageBreakBefore w:val="false"/>
        <w:spacing w:before="245" w:after="0" w:line="276" w:lineRule="exact"/>
        <w:ind w:right="0" w:left="0" w:firstLine="720"/>
        <w:jc w:val="both"/>
        <w:textAlignment w:val="baseline"/>
        <w:rPr>
          <w:rFonts w:ascii="Arial" w:hAnsi="Arial" w:eastAsia="Arial"/>
          <w:color w:val="000000"/>
          <w:spacing w:val="-1"/>
          <w:w w:val="100"/>
          <w:sz w:val="13"/>
          <w:vertAlign w:val="superscript"/>
          <w:lang w:val="en-US"/>
        </w:rPr>
      </w:pPr>
      <w:r>
        <w:rPr>
          <w:rFonts w:ascii="Arial" w:hAnsi="Arial" w:eastAsia="Arial"/>
          <w:color w:val="000000"/>
          <w:spacing w:val="-1"/>
          <w:w w:val="100"/>
          <w:sz w:val="13"/>
          <w:vertAlign w:val="superscript"/>
          <w:lang w:val="en-US"/>
        </w:rPr>
        <w:t xml:space="preserve">4</w:t>
      </w:r>
      <w:r>
        <w:rPr>
          <w:rFonts w:ascii="Arial" w:hAnsi="Arial" w:eastAsia="Arial"/>
          <w:i w:val="true"/>
          <w:color w:val="000000"/>
          <w:spacing w:val="-1"/>
          <w:w w:val="100"/>
          <w:sz w:val="24"/>
          <w:vertAlign w:val="baseline"/>
          <w:lang w:val="en-US"/>
        </w:rPr>
        <w:t xml:space="preserve"> See People v Gladman</w:t>
      </w:r>
      <w:r>
        <w:rPr>
          <w:rFonts w:ascii="Arial" w:hAnsi="Arial" w:eastAsia="Arial"/>
          <w:color w:val="000000"/>
          <w:spacing w:val="-1"/>
          <w:w w:val="100"/>
          <w:sz w:val="24"/>
          <w:vertAlign w:val="baseline"/>
          <w:lang w:val="en-US"/>
        </w:rPr>
        <w:t xml:space="preserve">, 41 NY2d 123, 129 (1976). The factors that are inapplicable to the case should be omitted in the charge to the jury.</w:t>
      </w:r>
    </w:p>
    <w:p>
      <w:pPr>
        <w:pageBreakBefore w:val="false"/>
        <w:spacing w:before="239" w:after="0" w:line="227" w:lineRule="exact"/>
        <w:ind w:right="0" w:left="0" w:firstLine="0"/>
        <w:jc w:val="center"/>
        <w:textAlignment w:val="baseline"/>
        <w:rPr>
          <w:rFonts w:ascii="Arial" w:hAnsi="Arial" w:eastAsia="Arial"/>
          <w:color w:val="000000"/>
          <w:spacing w:val="0"/>
          <w:w w:val="100"/>
          <w:sz w:val="20"/>
          <w:vertAlign w:val="baseline"/>
          <w:lang w:val="en-US"/>
        </w:rPr>
      </w:pPr>
      <w:r>
        <w:rPr>
          <w:rFonts w:ascii="Arial" w:hAnsi="Arial" w:eastAsia="Arial"/>
          <w:color w:val="000000"/>
          <w:spacing w:val="0"/>
          <w:w w:val="100"/>
          <w:sz w:val="20"/>
          <w:vertAlign w:val="baseline"/>
          <w:lang w:val="en-US"/>
        </w:rPr>
        <w:t xml:space="preserve">2</w:t>
      </w:r>
    </w:p>
    <w:p>
      <w:pPr>
        <w:sectPr>
          <w:type w:val="nextPage"/>
          <w:pgSz w:w="12240" w:h="15840" w:orient="portrait"/>
          <w:pgMar w:bottom="664" w:top="1080" w:right="2125" w:left="2155" w:header="720" w:footer="720"/>
          <w:titlePg w:val="false"/>
          <w:textDirection w:val="lrTb"/>
        </w:sectPr>
      </w:pPr>
    </w:p>
    <w:p>
      <w:pPr>
        <w:pageBreakBefore w:val="false"/>
        <w:numPr>
          <w:ilvl w:val="0"/>
          <w:numId w:val="1"/>
        </w:numPr>
        <w:tabs>
          <w:tab w:val="clear" w:pos="720"/>
          <w:tab w:val="left" w:pos="1440"/>
        </w:tabs>
        <w:spacing w:before="26" w:after="0" w:line="324" w:lineRule="exact"/>
        <w:ind w:right="0" w:left="1440" w:hanging="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That on or about </w:t>
      </w:r>
      <w:r>
        <w:rPr>
          <w:rFonts w:ascii="Arial" w:hAnsi="Arial" w:eastAsia="Arial"/>
          <w:i w:val="true"/>
          <w:color w:val="000000"/>
          <w:spacing w:val="0"/>
          <w:w w:val="100"/>
          <w:sz w:val="23"/>
          <w:u w:val="single"/>
          <w:vertAlign w:val="baseline"/>
          <w:lang w:val="en-US"/>
        </w:rPr>
        <w:t xml:space="preserve"> (date) </w:t>
      </w:r>
      <w:r>
        <w:rPr>
          <w:rFonts w:ascii="Arial" w:hAnsi="Arial" w:eastAsia="Arial"/>
          <w:color w:val="000000"/>
          <w:spacing w:val="0"/>
          <w:w w:val="100"/>
          <w:sz w:val="28"/>
          <w:vertAlign w:val="baseline"/>
          <w:lang w:val="en-US"/>
        </w:rPr>
        <w:t xml:space="preserve"> , in the county of </w:t>
      </w:r>
      <w:r>
        <w:rPr>
          <w:rFonts w:ascii="Arial" w:hAnsi="Arial" w:eastAsia="Arial"/>
          <w:i w:val="true"/>
          <w:color w:val="000000"/>
          <w:spacing w:val="0"/>
          <w:w w:val="100"/>
          <w:sz w:val="23"/>
          <w:u w:val="single"/>
          <w:vertAlign w:val="baseline"/>
          <w:lang w:val="en-US"/>
        </w:rPr>
        <w:t xml:space="preserve"> (County) </w:t>
      </w:r>
      <w:r>
        <w:rPr>
          <w:rFonts w:ascii="Arial" w:hAnsi="Arial" w:eastAsia="Arial"/>
          <w:color w:val="000000"/>
          <w:spacing w:val="0"/>
          <w:w w:val="100"/>
          <w:sz w:val="28"/>
          <w:vertAlign w:val="baseline"/>
          <w:lang w:val="en-US"/>
        </w:rPr>
        <w:t xml:space="preserve"> , the defendant, </w:t>
      </w:r>
      <w:r>
        <w:rPr>
          <w:rFonts w:ascii="Arial" w:hAnsi="Arial" w:eastAsia="Arial"/>
          <w:i w:val="true"/>
          <w:color w:val="000000"/>
          <w:spacing w:val="0"/>
          <w:w w:val="100"/>
          <w:sz w:val="23"/>
          <w:u w:val="single"/>
          <w:vertAlign w:val="baseline"/>
          <w:lang w:val="en-US"/>
        </w:rPr>
        <w:t xml:space="preserve"> (defendant's name) </w:t>
      </w:r>
      <w:r>
        <w:rPr>
          <w:rFonts w:ascii="Arial" w:hAnsi="Arial" w:eastAsia="Arial"/>
          <w:color w:val="000000"/>
          <w:spacing w:val="0"/>
          <w:w w:val="100"/>
          <w:sz w:val="28"/>
          <w:vertAlign w:val="baseline"/>
          <w:lang w:val="en-US"/>
        </w:rPr>
        <w:t xml:space="preserve"> , committed [</w:t>
      </w:r>
      <w:r>
        <w:rPr>
          <w:rFonts w:ascii="Arial" w:hAnsi="Arial" w:eastAsia="Arial"/>
          <w:i w:val="true"/>
          <w:color w:val="000000"/>
          <w:spacing w:val="0"/>
          <w:w w:val="100"/>
          <w:sz w:val="28"/>
          <w:vertAlign w:val="baseline"/>
          <w:lang w:val="en-US"/>
        </w:rPr>
        <w:t xml:space="preserve">or </w:t>
      </w:r>
      <w:r>
        <w:rPr>
          <w:rFonts w:ascii="Arial" w:hAnsi="Arial" w:eastAsia="Arial"/>
          <w:color w:val="000000"/>
          <w:spacing w:val="0"/>
          <w:w w:val="100"/>
          <w:sz w:val="28"/>
          <w:vertAlign w:val="baseline"/>
          <w:lang w:val="en-US"/>
        </w:rPr>
        <w:t xml:space="preserve">attempted to commit] </w:t>
      </w:r>
      <w:r>
        <w:rPr>
          <w:rFonts w:ascii="Arial" w:hAnsi="Arial" w:eastAsia="Arial"/>
          <w:i w:val="true"/>
          <w:color w:val="000000"/>
          <w:spacing w:val="0"/>
          <w:w w:val="100"/>
          <w:sz w:val="23"/>
          <w:u w:val="single"/>
          <w:vertAlign w:val="baseline"/>
          <w:lang w:val="en-US"/>
        </w:rPr>
        <w:t xml:space="preserve">(name of felony)</w:t>
      </w:r>
      <w:r>
        <w:rPr>
          <w:rFonts w:ascii="Arial" w:hAnsi="Arial" w:eastAsia="Arial"/>
          <w:color w:val="000000"/>
          <w:spacing w:val="0"/>
          <w:w w:val="100"/>
          <w:sz w:val="28"/>
          <w:vertAlign w:val="baseline"/>
          <w:lang w:val="en-US"/>
        </w:rPr>
        <w:t xml:space="preserve">; and</w:t>
      </w:r>
    </w:p>
    <w:p>
      <w:pPr>
        <w:pageBreakBefore w:val="false"/>
        <w:numPr>
          <w:ilvl w:val="0"/>
          <w:numId w:val="1"/>
        </w:numPr>
        <w:tabs>
          <w:tab w:val="clear" w:pos="720"/>
          <w:tab w:val="left" w:pos="1440"/>
        </w:tabs>
        <w:spacing w:before="319" w:after="0" w:line="324" w:lineRule="exact"/>
        <w:ind w:right="0" w:left="1440" w:hanging="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That, in the course of and in furtherance of the commission [</w:t>
      </w:r>
      <w:r>
        <w:rPr>
          <w:rFonts w:ascii="Arial" w:hAnsi="Arial" w:eastAsia="Arial"/>
          <w:i w:val="true"/>
          <w:color w:val="000000"/>
          <w:spacing w:val="0"/>
          <w:w w:val="100"/>
          <w:sz w:val="28"/>
          <w:vertAlign w:val="baseline"/>
          <w:lang w:val="en-US"/>
        </w:rPr>
        <w:t xml:space="preserve">or </w:t>
      </w:r>
      <w:r>
        <w:rPr>
          <w:rFonts w:ascii="Arial" w:hAnsi="Arial" w:eastAsia="Arial"/>
          <w:color w:val="000000"/>
          <w:spacing w:val="0"/>
          <w:w w:val="100"/>
          <w:sz w:val="28"/>
          <w:vertAlign w:val="baseline"/>
          <w:lang w:val="en-US"/>
        </w:rPr>
        <w:t xml:space="preserve">attempted commission] of such </w:t>
      </w:r>
      <w:r>
        <w:rPr>
          <w:rFonts w:ascii="Arial" w:hAnsi="Arial" w:eastAsia="Arial"/>
          <w:i w:val="true"/>
          <w:color w:val="000000"/>
          <w:spacing w:val="0"/>
          <w:w w:val="100"/>
          <w:sz w:val="23"/>
          <w:u w:val="single"/>
          <w:vertAlign w:val="baseline"/>
          <w:lang w:val="en-US"/>
        </w:rPr>
        <w:t xml:space="preserve">(name of felony) </w:t>
      </w:r>
      <w:r>
        <w:rPr>
          <w:rFonts w:ascii="Arial" w:hAnsi="Arial" w:eastAsia="Arial"/>
          <w:color w:val="000000"/>
          <w:spacing w:val="0"/>
          <w:w w:val="100"/>
          <w:sz w:val="28"/>
          <w:vertAlign w:val="baseline"/>
          <w:lang w:val="en-US"/>
        </w:rPr>
        <w:t xml:space="preserve"> [</w:t>
      </w:r>
      <w:r>
        <w:rPr>
          <w:rFonts w:ascii="Arial" w:hAnsi="Arial" w:eastAsia="Arial"/>
          <w:i w:val="true"/>
          <w:color w:val="000000"/>
          <w:spacing w:val="0"/>
          <w:w w:val="100"/>
          <w:sz w:val="28"/>
          <w:vertAlign w:val="baseline"/>
          <w:lang w:val="en-US"/>
        </w:rPr>
        <w:t xml:space="preserve">or </w:t>
      </w:r>
      <w:r>
        <w:rPr>
          <w:rFonts w:ascii="Arial" w:hAnsi="Arial" w:eastAsia="Arial"/>
          <w:color w:val="000000"/>
          <w:spacing w:val="0"/>
          <w:w w:val="100"/>
          <w:sz w:val="28"/>
          <w:vertAlign w:val="baseline"/>
          <w:lang w:val="en-US"/>
        </w:rPr>
        <w:t xml:space="preserve">of immediate flight therefrom], the defendant [</w:t>
      </w:r>
      <w:r>
        <w:rPr>
          <w:rFonts w:ascii="Arial" w:hAnsi="Arial" w:eastAsia="Arial"/>
          <w:i w:val="true"/>
          <w:color w:val="000000"/>
          <w:spacing w:val="0"/>
          <w:w w:val="100"/>
          <w:sz w:val="28"/>
          <w:vertAlign w:val="baseline"/>
          <w:lang w:val="en-US"/>
        </w:rPr>
        <w:t xml:space="preserve">or </w:t>
      </w:r>
      <w:r>
        <w:rPr>
          <w:rFonts w:ascii="Arial" w:hAnsi="Arial" w:eastAsia="Arial"/>
          <w:color w:val="000000"/>
          <w:spacing w:val="0"/>
          <w:w w:val="100"/>
          <w:sz w:val="28"/>
          <w:vertAlign w:val="baseline"/>
          <w:lang w:val="en-US"/>
        </w:rPr>
        <w:t xml:space="preserve">another participant in the commission (</w:t>
      </w:r>
      <w:r>
        <w:rPr>
          <w:rFonts w:ascii="Arial" w:hAnsi="Arial" w:eastAsia="Arial"/>
          <w:i w:val="true"/>
          <w:color w:val="000000"/>
          <w:spacing w:val="0"/>
          <w:w w:val="100"/>
          <w:sz w:val="28"/>
          <w:vertAlign w:val="baseline"/>
          <w:lang w:val="en-US"/>
        </w:rPr>
        <w:t xml:space="preserve">or </w:t>
      </w:r>
      <w:r>
        <w:rPr>
          <w:rFonts w:ascii="Arial" w:hAnsi="Arial" w:eastAsia="Arial"/>
          <w:color w:val="000000"/>
          <w:spacing w:val="0"/>
          <w:w w:val="100"/>
          <w:sz w:val="28"/>
          <w:vertAlign w:val="baseline"/>
          <w:lang w:val="en-US"/>
        </w:rPr>
        <w:t xml:space="preserve">attempted commission) of that felony] caused the death of </w:t>
      </w:r>
      <w:r>
        <w:rPr>
          <w:rFonts w:ascii="Arial" w:hAnsi="Arial" w:eastAsia="Arial"/>
          <w:i w:val="true"/>
          <w:color w:val="000000"/>
          <w:spacing w:val="0"/>
          <w:w w:val="100"/>
          <w:sz w:val="23"/>
          <w:u w:val="single"/>
          <w:vertAlign w:val="baseline"/>
          <w:lang w:val="en-US"/>
        </w:rPr>
        <w:t xml:space="preserve"> (specify) </w:t>
      </w:r>
      <w:r>
        <w:rPr>
          <w:rFonts w:ascii="Arial" w:hAnsi="Arial" w:eastAsia="Arial"/>
          <w:color w:val="000000"/>
          <w:spacing w:val="0"/>
          <w:w w:val="100"/>
          <w:sz w:val="28"/>
          <w:vertAlign w:val="baseline"/>
          <w:lang w:val="en-US"/>
        </w:rPr>
        <w:t xml:space="preserve"> and that </w:t>
      </w:r>
      <w:r>
        <w:rPr>
          <w:rFonts w:ascii="Arial" w:hAnsi="Arial" w:eastAsia="Arial"/>
          <w:i w:val="true"/>
          <w:color w:val="000000"/>
          <w:spacing w:val="0"/>
          <w:w w:val="100"/>
          <w:sz w:val="23"/>
          <w:u w:val="single"/>
          <w:vertAlign w:val="baseline"/>
          <w:lang w:val="en-US"/>
        </w:rPr>
        <w:t xml:space="preserve"> (specify) </w:t>
      </w:r>
      <w:r>
        <w:rPr>
          <w:rFonts w:ascii="Arial" w:hAnsi="Arial" w:eastAsia="Arial"/>
          <w:color w:val="000000"/>
          <w:spacing w:val="0"/>
          <w:w w:val="100"/>
          <w:sz w:val="28"/>
          <w:vertAlign w:val="baseline"/>
          <w:lang w:val="en-US"/>
        </w:rPr>
        <w:t xml:space="preserve"> was not a participant in that felony.</w:t>
      </w:r>
    </w:p>
    <w:p>
      <w:pPr>
        <w:pageBreakBefore w:val="false"/>
        <w:spacing w:before="651" w:after="0" w:line="321" w:lineRule="exact"/>
        <w:ind w:right="0" w:left="0" w:firstLine="0"/>
        <w:jc w:val="both"/>
        <w:textAlignment w:val="baseline"/>
        <w:rPr>
          <w:rFonts w:ascii="Arial" w:hAnsi="Arial" w:eastAsia="Arial"/>
          <w:i w:val="true"/>
          <w:color w:val="000000"/>
          <w:spacing w:val="0"/>
          <w:w w:val="100"/>
          <w:sz w:val="28"/>
          <w:vertAlign w:val="baseline"/>
          <w:lang w:val="en-US"/>
        </w:rPr>
      </w:pPr>
      <w:r>
        <w:rPr>
          <w:rFonts w:ascii="Arial" w:hAnsi="Arial" w:eastAsia="Arial"/>
          <w:i w:val="true"/>
          <w:color w:val="000000"/>
          <w:spacing w:val="0"/>
          <w:w w:val="100"/>
          <w:sz w:val="28"/>
          <w:vertAlign w:val="baseline"/>
          <w:lang w:val="en-US"/>
        </w:rPr>
        <w:t xml:space="preserve">[NOTE: If the affirmative defense does not apply, conclude as follows:</w:t>
      </w:r>
    </w:p>
    <w:p>
      <w:pPr>
        <w:pageBreakBefore w:val="false"/>
        <w:spacing w:before="327" w:after="0" w:line="324"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If you find the People have proven beyond a reasonable doubt both of those elements, you must find the defendant guilty of this crime.</w:t>
      </w:r>
    </w:p>
    <w:p>
      <w:pPr>
        <w:pageBreakBefore w:val="false"/>
        <w:spacing w:before="319" w:after="0" w:line="324" w:lineRule="exact"/>
        <w:ind w:right="0" w:left="0" w:firstLine="720"/>
        <w:jc w:val="both"/>
        <w:textAlignment w:val="baseline"/>
        <w:rPr>
          <w:rFonts w:ascii="Arial" w:hAnsi="Arial" w:eastAsia="Arial"/>
          <w:color w:val="000000"/>
          <w:spacing w:val="-3"/>
          <w:w w:val="100"/>
          <w:sz w:val="28"/>
          <w:vertAlign w:val="baseline"/>
          <w:lang w:val="en-US"/>
        </w:rPr>
      </w:pPr>
      <w:r>
        <w:rPr>
          <w:rFonts w:ascii="Arial" w:hAnsi="Arial" w:eastAsia="Arial"/>
          <w:color w:val="000000"/>
          <w:spacing w:val="-3"/>
          <w:w w:val="100"/>
          <w:sz w:val="28"/>
          <w:vertAlign w:val="baseline"/>
          <w:lang w:val="en-US"/>
        </w:rPr>
        <w:t xml:space="preserve">If you find the People have not proven beyond a reasonable doubt either one or both of those elements, you must find the defendant not guilty of this crime.</w:t>
      </w:r>
    </w:p>
    <w:p>
      <w:pPr>
        <w:pageBreakBefore w:val="false"/>
        <w:spacing w:before="336" w:after="0" w:line="314" w:lineRule="exact"/>
        <w:ind w:right="0" w:left="0" w:firstLine="0"/>
        <w:jc w:val="left"/>
        <w:textAlignment w:val="baseline"/>
        <w:rPr>
          <w:rFonts w:ascii="Arial" w:hAnsi="Arial" w:eastAsia="Arial"/>
          <w:i w:val="true"/>
          <w:color w:val="000000"/>
          <w:spacing w:val="2"/>
          <w:w w:val="100"/>
          <w:sz w:val="28"/>
          <w:vertAlign w:val="baseline"/>
          <w:lang w:val="en-US"/>
        </w:rPr>
      </w:pPr>
      <w:r>
        <w:rPr>
          <w:rFonts w:ascii="Arial" w:hAnsi="Arial" w:eastAsia="Arial"/>
          <w:i w:val="true"/>
          <w:color w:val="000000"/>
          <w:spacing w:val="2"/>
          <w:w w:val="100"/>
          <w:sz w:val="28"/>
          <w:vertAlign w:val="baseline"/>
          <w:lang w:val="en-US"/>
        </w:rPr>
        <w:t xml:space="preserve">[NOTE: If the affirmative defense applies, conclude as follows:</w:t>
      </w:r>
    </w:p>
    <w:p>
      <w:pPr>
        <w:pageBreakBefore w:val="false"/>
        <w:spacing w:before="322" w:after="0" w:line="324" w:lineRule="exact"/>
        <w:ind w:right="0" w:left="0" w:firstLine="720"/>
        <w:jc w:val="both"/>
        <w:textAlignment w:val="baseline"/>
        <w:rPr>
          <w:rFonts w:ascii="Arial" w:hAnsi="Arial" w:eastAsia="Arial"/>
          <w:color w:val="000000"/>
          <w:spacing w:val="-2"/>
          <w:w w:val="100"/>
          <w:sz w:val="28"/>
          <w:vertAlign w:val="baseline"/>
          <w:lang w:val="en-US"/>
        </w:rPr>
      </w:pPr>
      <w:r>
        <w:rPr>
          <w:rFonts w:ascii="Arial" w:hAnsi="Arial" w:eastAsia="Arial"/>
          <w:color w:val="000000"/>
          <w:spacing w:val="-2"/>
          <w:w w:val="100"/>
          <w:sz w:val="28"/>
          <w:vertAlign w:val="baseline"/>
          <w:lang w:val="en-US"/>
        </w:rPr>
        <w:t xml:space="preserve">If you find that the People have not proven beyond a reasonable doubt either one or both of those elements, you must find the defendant not guilty of Murder in the Second Degree as</w:t>
      </w:r>
    </w:p>
    <w:p>
      <w:pPr>
        <w:pageBreakBefore w:val="false"/>
        <w:tabs>
          <w:tab w:val="left" w:leader="underscore" w:pos="2808"/>
        </w:tabs>
        <w:spacing w:before="0" w:after="0" w:line="322" w:lineRule="exact"/>
        <w:ind w:right="0" w:left="0" w:firstLine="0"/>
        <w:jc w:val="left"/>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charged in the	</w:t>
      </w:r>
      <w:r>
        <w:rPr>
          <w:rFonts w:ascii="Arial" w:hAnsi="Arial" w:eastAsia="Arial"/>
          <w:color w:val="000000"/>
          <w:spacing w:val="0"/>
          <w:w w:val="100"/>
          <w:sz w:val="28"/>
          <w:vertAlign w:val="baseline"/>
          <w:lang w:val="en-US"/>
        </w:rPr>
        <w:t xml:space="preserve">count.</w:t>
      </w:r>
    </w:p>
    <w:p>
      <w:pPr>
        <w:pageBreakBefore w:val="false"/>
        <w:spacing w:before="326" w:after="1105" w:line="324"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On the other hand, if you find that the People have proven beyond a reasonable doubt both of those elements, you must consider an affirmative defense the defendant has raised. Remember, if you have already found the defendant not guilty of Murder in the Second Degree as charged in this count, you will not consider the affirmative defense.</w:t>
      </w:r>
    </w:p>
    <w:p>
      <w:pPr>
        <w:spacing w:before="326" w:after="1105" w:line="324" w:lineRule="exact"/>
        <w:sectPr>
          <w:type w:val="nextPage"/>
          <w:pgSz w:w="12240" w:h="15840" w:orient="portrait"/>
          <w:pgMar w:bottom="664" w:top="1420" w:right="2133" w:left="2147" w:header="720" w:footer="720"/>
          <w:titlePg w:val="false"/>
          <w:textDirection w:val="lrTb"/>
        </w:sectPr>
      </w:pPr>
    </w:p>
    <w:p>
      <w:pPr>
        <w:pageBreakBefore w:val="false"/>
        <w:spacing w:before="1" w:after="0" w:line="229" w:lineRule="exact"/>
        <w:ind w:right="0" w:left="0" w:firstLine="0"/>
        <w:jc w:val="center"/>
        <w:textAlignment w:val="baseline"/>
        <w:rPr>
          <w:rFonts w:ascii="Arial" w:hAnsi="Arial" w:eastAsia="Arial"/>
          <w:color w:val="000000"/>
          <w:spacing w:val="0"/>
          <w:w w:val="100"/>
          <w:sz w:val="20"/>
          <w:vertAlign w:val="baseline"/>
          <w:lang w:val="en-US"/>
        </w:rPr>
      </w:pPr>
      <w:r>
        <w:rPr>
          <w:rFonts w:ascii="Arial" w:hAnsi="Arial" w:eastAsia="Arial"/>
          <w:color w:val="000000"/>
          <w:spacing w:val="0"/>
          <w:w w:val="100"/>
          <w:sz w:val="20"/>
          <w:vertAlign w:val="baseline"/>
          <w:lang w:val="en-US"/>
        </w:rPr>
        <w:t xml:space="preserve">3</w:t>
      </w:r>
    </w:p>
    <w:p>
      <w:pPr>
        <w:sectPr>
          <w:type w:val="continuous"/>
          <w:pgSz w:w="12240" w:h="15840" w:orient="portrait"/>
          <w:pgMar w:bottom="664" w:top="1420" w:right="2140" w:left="2140" w:header="720" w:footer="720"/>
          <w:titlePg w:val="false"/>
          <w:textDirection w:val="lrTb"/>
        </w:sectPr>
      </w:pPr>
    </w:p>
    <w:p>
      <w:pPr>
        <w:pageBreakBefore w:val="false"/>
        <w:spacing w:before="0" w:after="0" w:line="326"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Under our law, it is an affirmative defense to Murder in the Second Degree as charged in this count that:</w:t>
      </w:r>
    </w:p>
    <w:p>
      <w:pPr>
        <w:pageBreakBefore w:val="false"/>
        <w:numPr>
          <w:ilvl w:val="0"/>
          <w:numId w:val="2"/>
        </w:numPr>
        <w:tabs>
          <w:tab w:val="clear" w:pos="504"/>
          <w:tab w:val="left" w:pos="1944"/>
        </w:tabs>
        <w:spacing w:before="324" w:after="0" w:line="324" w:lineRule="exact"/>
        <w:ind w:right="0" w:left="72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The defendant did not commit the homicidal act or in any way solicit, request, command, importune, cause or aid the commission thereof; and</w:t>
      </w:r>
    </w:p>
    <w:p>
      <w:pPr>
        <w:pageBreakBefore w:val="false"/>
        <w:numPr>
          <w:ilvl w:val="0"/>
          <w:numId w:val="2"/>
        </w:numPr>
        <w:tabs>
          <w:tab w:val="clear" w:pos="504"/>
          <w:tab w:val="left" w:pos="1944"/>
        </w:tabs>
        <w:spacing w:before="324" w:after="0" w:line="324" w:lineRule="exact"/>
        <w:ind w:right="0" w:left="72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The defendant was not armed with a deadly weapon, or any instrument, article or substance readily capable of causing death or serious physical injury and of a sort not ordinarily carried in public places by law-abiding persons; and</w:t>
      </w:r>
    </w:p>
    <w:p>
      <w:pPr>
        <w:pageBreakBefore w:val="false"/>
        <w:numPr>
          <w:ilvl w:val="0"/>
          <w:numId w:val="2"/>
        </w:numPr>
        <w:tabs>
          <w:tab w:val="clear" w:pos="504"/>
          <w:tab w:val="left" w:pos="1944"/>
        </w:tabs>
        <w:spacing w:before="324" w:after="0" w:line="324" w:lineRule="exact"/>
        <w:ind w:right="0" w:left="72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The defendant had no reasonable ground to believe that any other participant was armed with such a weapon, instrument, article or substance; and</w:t>
      </w:r>
    </w:p>
    <w:p>
      <w:pPr>
        <w:pageBreakBefore w:val="false"/>
        <w:numPr>
          <w:ilvl w:val="0"/>
          <w:numId w:val="2"/>
        </w:numPr>
        <w:tabs>
          <w:tab w:val="clear" w:pos="504"/>
          <w:tab w:val="left" w:pos="1944"/>
        </w:tabs>
        <w:spacing w:before="324" w:after="0" w:line="324" w:lineRule="exact"/>
        <w:ind w:right="0" w:left="72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The defendant had no reasonable ground to believe that any other participant intended to engage in conduct likely to result in death or serious physical injury.</w:t>
      </w:r>
    </w:p>
    <w:p>
      <w:pPr>
        <w:pageBreakBefore w:val="false"/>
        <w:spacing w:before="322" w:after="0" w:line="326"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Under our law, the defendant has the burden of proving an affirmative defense by a preponderance of the evidence.</w:t>
      </w:r>
    </w:p>
    <w:p>
      <w:pPr>
        <w:pageBreakBefore w:val="false"/>
        <w:spacing w:before="318" w:after="0" w:line="326" w:lineRule="exact"/>
        <w:ind w:right="0" w:left="0" w:firstLine="720"/>
        <w:jc w:val="both"/>
        <w:textAlignment w:val="baseline"/>
        <w:rPr>
          <w:rFonts w:ascii="Arial" w:hAnsi="Arial" w:eastAsia="Arial"/>
          <w:color w:val="000000"/>
          <w:spacing w:val="-4"/>
          <w:w w:val="100"/>
          <w:sz w:val="28"/>
          <w:vertAlign w:val="baseline"/>
          <w:lang w:val="en-US"/>
        </w:rPr>
      </w:pPr>
      <w:r>
        <w:rPr>
          <w:rFonts w:ascii="Arial" w:hAnsi="Arial" w:eastAsia="Arial"/>
          <w:color w:val="000000"/>
          <w:spacing w:val="-4"/>
          <w:w w:val="100"/>
          <w:sz w:val="28"/>
          <w:vertAlign w:val="baseline"/>
          <w:lang w:val="en-US"/>
        </w:rPr>
        <w:t xml:space="preserve">In determining whether the defendant has proven the affirmative defense by a preponderance of the evidence, you may consider evidence introduced by the People or by the defendant.</w:t>
      </w:r>
    </w:p>
    <w:p>
      <w:pPr>
        <w:pageBreakBefore w:val="false"/>
        <w:spacing w:before="318" w:after="0" w:line="325" w:lineRule="exact"/>
        <w:ind w:right="0" w:left="0" w:firstLine="720"/>
        <w:jc w:val="both"/>
        <w:textAlignment w:val="baseline"/>
        <w:rPr>
          <w:rFonts w:ascii="Arial" w:hAnsi="Arial" w:eastAsia="Arial"/>
          <w:color w:val="000000"/>
          <w:spacing w:val="-3"/>
          <w:w w:val="100"/>
          <w:sz w:val="28"/>
          <w:vertAlign w:val="baseline"/>
          <w:lang w:val="en-US"/>
        </w:rPr>
      </w:pPr>
      <w:r>
        <w:rPr>
          <w:rFonts w:ascii="Arial" w:hAnsi="Arial" w:eastAsia="Arial"/>
          <w:color w:val="000000"/>
          <w:spacing w:val="-3"/>
          <w:w w:val="100"/>
          <w:sz w:val="28"/>
          <w:vertAlign w:val="baseline"/>
          <w:lang w:val="en-US"/>
        </w:rPr>
        <w:t xml:space="preserve">A preponderance of the evidence means the greater part of the believable and reliable evidence, not in terms of the number of witnesses or the length of time taken to present the evidence, but in terms of its quality and the weight and convincing effect it</w:t>
      </w:r>
    </w:p>
    <w:p>
      <w:pPr>
        <w:pageBreakBefore w:val="false"/>
        <w:tabs>
          <w:tab w:val="right" w:leader="none" w:pos="7920"/>
        </w:tabs>
        <w:spacing w:before="4" w:after="0" w:line="323" w:lineRule="exact"/>
        <w:ind w:right="0" w:left="0" w:firstLine="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has.	</w:t>
      </w:r>
      <w:r>
        <w:rPr>
          <w:rFonts w:ascii="Arial" w:hAnsi="Arial" w:eastAsia="Arial"/>
          <w:color w:val="000000"/>
          <w:spacing w:val="0"/>
          <w:w w:val="100"/>
          <w:sz w:val="28"/>
          <w:vertAlign w:val="baseline"/>
          <w:lang w:val="en-US"/>
        </w:rPr>
        <w:t xml:space="preserve">For the affirmative defense to be proved by a</w:t>
        <w:br/>
      </w:r>
      <w:r>
        <w:rPr>
          <w:rFonts w:ascii="Arial" w:hAnsi="Arial" w:eastAsia="Arial"/>
          <w:color w:val="000000"/>
          <w:spacing w:val="0"/>
          <w:w w:val="100"/>
          <w:sz w:val="28"/>
          <w:vertAlign w:val="baseline"/>
          <w:lang w:val="en-US"/>
        </w:rPr>
        <w:t xml:space="preserve">preponderance of the evidence, the evidence that supports the affirmative defense must be of such convincing quality as to outweigh any evidence to the contrary.</w:t>
      </w:r>
    </w:p>
    <w:p>
      <w:pPr>
        <w:pageBreakBefore w:val="false"/>
        <w:spacing w:before="327" w:after="451" w:line="321" w:lineRule="exact"/>
        <w:ind w:right="0" w:left="0" w:firstLine="720"/>
        <w:jc w:val="both"/>
        <w:textAlignment w:val="baseline"/>
        <w:rPr>
          <w:rFonts w:ascii="Arial" w:hAnsi="Arial" w:eastAsia="Arial"/>
          <w:color w:val="000000"/>
          <w:spacing w:val="-2"/>
          <w:w w:val="100"/>
          <w:sz w:val="28"/>
          <w:vertAlign w:val="baseline"/>
          <w:lang w:val="en-US"/>
        </w:rPr>
      </w:pPr>
      <w:r>
        <w:rPr>
          <w:rFonts w:ascii="Arial" w:hAnsi="Arial" w:eastAsia="Arial"/>
          <w:color w:val="000000"/>
          <w:spacing w:val="-2"/>
          <w:w w:val="100"/>
          <w:sz w:val="28"/>
          <w:vertAlign w:val="baseline"/>
          <w:lang w:val="en-US"/>
        </w:rPr>
        <w:t xml:space="preserve">Therefore, if you find that the defendant has not proven the affirmative defense by a preponderance of the evidence, then,</w:t>
      </w:r>
    </w:p>
    <w:p>
      <w:pPr>
        <w:spacing w:before="327" w:after="451" w:line="321" w:lineRule="exact"/>
        <w:sectPr>
          <w:type w:val="nextPage"/>
          <w:pgSz w:w="12240" w:h="15840" w:orient="portrait"/>
          <w:pgMar w:bottom="664" w:top="1440" w:right="2128" w:left="2152" w:header="720" w:footer="720"/>
          <w:titlePg w:val="false"/>
          <w:textDirection w:val="lrTb"/>
        </w:sectPr>
      </w:pPr>
    </w:p>
    <w:p>
      <w:pPr>
        <w:pageBreakBefore w:val="false"/>
        <w:spacing w:before="1" w:after="0" w:line="229" w:lineRule="exact"/>
        <w:ind w:right="0" w:left="0" w:firstLine="0"/>
        <w:jc w:val="center"/>
        <w:textAlignment w:val="baseline"/>
        <w:rPr>
          <w:rFonts w:ascii="Arial" w:hAnsi="Arial" w:eastAsia="Arial"/>
          <w:color w:val="000000"/>
          <w:spacing w:val="0"/>
          <w:w w:val="100"/>
          <w:sz w:val="20"/>
          <w:vertAlign w:val="baseline"/>
          <w:lang w:val="en-US"/>
        </w:rPr>
      </w:pPr>
      <w:r>
        <w:rPr>
          <w:rFonts w:ascii="Arial" w:hAnsi="Arial" w:eastAsia="Arial"/>
          <w:color w:val="000000"/>
          <w:spacing w:val="0"/>
          <w:w w:val="100"/>
          <w:sz w:val="20"/>
          <w:vertAlign w:val="baseline"/>
          <w:lang w:val="en-US"/>
        </w:rPr>
        <w:t xml:space="preserve">4</w:t>
      </w:r>
    </w:p>
    <w:p>
      <w:pPr>
        <w:sectPr>
          <w:type w:val="continuous"/>
          <w:pgSz w:w="12240" w:h="15840" w:orient="portrait"/>
          <w:pgMar w:bottom="664" w:top="1440" w:right="2142" w:left="2138" w:header="720" w:footer="720"/>
          <w:titlePg w:val="false"/>
          <w:textDirection w:val="lrTb"/>
        </w:sectPr>
      </w:pPr>
    </w:p>
    <w:p>
      <w:pPr>
        <w:pageBreakBefore w:val="false"/>
        <w:spacing w:before="6" w:after="0" w:line="324" w:lineRule="exact"/>
        <w:ind w:right="0" w:left="0" w:firstLine="0"/>
        <w:jc w:val="left"/>
        <w:textAlignment w:val="baseline"/>
        <w:rPr>
          <w:rFonts w:ascii="Arial" w:hAnsi="Arial" w:eastAsia="Arial"/>
          <w:color w:val="000000"/>
          <w:spacing w:val="-4"/>
          <w:w w:val="100"/>
          <w:sz w:val="28"/>
          <w:vertAlign w:val="baseline"/>
          <w:lang w:val="en-US"/>
        </w:rPr>
      </w:pPr>
      <w:r>
        <w:rPr>
          <w:rFonts w:ascii="Arial" w:hAnsi="Arial" w:eastAsia="Arial"/>
          <w:color w:val="000000"/>
          <w:spacing w:val="-4"/>
          <w:w w:val="100"/>
          <w:sz w:val="28"/>
          <w:vertAlign w:val="baseline"/>
          <w:lang w:val="en-US"/>
        </w:rPr>
        <w:t xml:space="preserve">based upon your initial determination that the People had proven beyond a reasonable doubt the elements of Murder in the Second Degree, you must find the defendant guilty of that crime as</w:t>
      </w:r>
    </w:p>
    <w:p>
      <w:pPr>
        <w:pageBreakBefore w:val="false"/>
        <w:tabs>
          <w:tab w:val="left" w:leader="underscore" w:pos="2736"/>
        </w:tabs>
        <w:spacing w:before="0" w:after="0" w:line="322" w:lineRule="exact"/>
        <w:ind w:right="0" w:left="0" w:firstLine="0"/>
        <w:jc w:val="left"/>
        <w:textAlignment w:val="baseline"/>
        <w:rPr>
          <w:rFonts w:ascii="Arial" w:hAnsi="Arial" w:eastAsia="Arial"/>
          <w:color w:val="000000"/>
          <w:spacing w:val="-1"/>
          <w:w w:val="100"/>
          <w:sz w:val="28"/>
          <w:vertAlign w:val="baseline"/>
          <w:lang w:val="en-US"/>
        </w:rPr>
      </w:pPr>
      <w:r>
        <w:rPr>
          <w:rFonts w:ascii="Arial" w:hAnsi="Arial" w:eastAsia="Arial"/>
          <w:color w:val="000000"/>
          <w:spacing w:val="-1"/>
          <w:w w:val="100"/>
          <w:sz w:val="28"/>
          <w:vertAlign w:val="baseline"/>
          <w:lang w:val="en-US"/>
        </w:rPr>
        <w:t xml:space="preserve">charged in the	</w:t>
      </w:r>
      <w:r>
        <w:rPr>
          <w:rFonts w:ascii="Arial" w:hAnsi="Arial" w:eastAsia="Arial"/>
          <w:color w:val="000000"/>
          <w:spacing w:val="-1"/>
          <w:w w:val="100"/>
          <w:sz w:val="28"/>
          <w:vertAlign w:val="baseline"/>
          <w:lang w:val="en-US"/>
        </w:rPr>
        <w:t xml:space="preserve">count.</w:t>
      </w:r>
    </w:p>
    <w:p>
      <w:pPr>
        <w:pageBreakBefore w:val="false"/>
        <w:spacing w:before="324" w:after="0" w:line="324" w:lineRule="exact"/>
        <w:ind w:right="0" w:left="0" w:firstLine="720"/>
        <w:jc w:val="left"/>
        <w:textAlignment w:val="baseline"/>
        <w:rPr>
          <w:rFonts w:ascii="Arial" w:hAnsi="Arial" w:eastAsia="Arial"/>
          <w:color w:val="000000"/>
          <w:spacing w:val="-4"/>
          <w:w w:val="100"/>
          <w:sz w:val="28"/>
          <w:vertAlign w:val="baseline"/>
          <w:lang w:val="en-US"/>
        </w:rPr>
      </w:pPr>
      <w:r>
        <w:rPr>
          <w:rFonts w:ascii="Arial" w:hAnsi="Arial" w:eastAsia="Arial"/>
          <w:color w:val="000000"/>
          <w:spacing w:val="-4"/>
          <w:w w:val="100"/>
          <w:sz w:val="28"/>
          <w:vertAlign w:val="baseline"/>
          <w:lang w:val="en-US"/>
        </w:rPr>
        <w:t xml:space="preserve">On the other hand, if you find that the defendant has proven the affirmative defense by a preponderance of the evidence, then you must find the defendant not guilty of Murder in the Second</w:t>
      </w:r>
    </w:p>
    <w:p>
      <w:pPr>
        <w:pageBreakBefore w:val="false"/>
        <w:tabs>
          <w:tab w:val="left" w:leader="underscore" w:pos="4104"/>
        </w:tabs>
        <w:spacing w:before="0" w:after="10172" w:line="321" w:lineRule="exact"/>
        <w:ind w:right="0" w:left="0" w:firstLine="0"/>
        <w:jc w:val="left"/>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Degree as charged in the	</w:t>
      </w:r>
      <w:r>
        <w:rPr>
          <w:rFonts w:ascii="Arial" w:hAnsi="Arial" w:eastAsia="Arial"/>
          <w:color w:val="000000"/>
          <w:spacing w:val="0"/>
          <w:w w:val="100"/>
          <w:sz w:val="28"/>
          <w:vertAlign w:val="baseline"/>
          <w:lang w:val="en-US"/>
        </w:rPr>
        <w:t xml:space="preserve">count.]</w:t>
      </w:r>
    </w:p>
    <w:p>
      <w:pPr>
        <w:spacing w:before="0" w:after="10172" w:line="321" w:lineRule="exact"/>
        <w:sectPr>
          <w:type w:val="nextPage"/>
          <w:pgSz w:w="12240" w:h="15840" w:orient="portrait"/>
          <w:pgMar w:bottom="664" w:top="1440" w:right="2142" w:left="2138" w:header="720" w:footer="720"/>
          <w:titlePg w:val="false"/>
          <w:textDirection w:val="lrTb"/>
        </w:sectPr>
      </w:pPr>
    </w:p>
    <w:p>
      <w:pPr>
        <w:pageBreakBefore w:val="false"/>
        <w:spacing w:before="1" w:after="0" w:line="229" w:lineRule="exact"/>
        <w:ind w:right="0" w:left="0" w:firstLine="0"/>
        <w:jc w:val="center"/>
        <w:textAlignment w:val="baseline"/>
        <w:rPr>
          <w:rFonts w:ascii="Arial" w:hAnsi="Arial" w:eastAsia="Arial"/>
          <w:color w:val="000000"/>
          <w:spacing w:val="0"/>
          <w:w w:val="100"/>
          <w:sz w:val="20"/>
          <w:vertAlign w:val="baseline"/>
          <w:lang w:val="en-US"/>
        </w:rPr>
      </w:pPr>
      <w:r>
        <w:rPr>
          <w:rFonts w:ascii="Arial" w:hAnsi="Arial" w:eastAsia="Arial"/>
          <w:color w:val="000000"/>
          <w:spacing w:val="0"/>
          <w:w w:val="100"/>
          <w:sz w:val="20"/>
          <w:vertAlign w:val="baseline"/>
          <w:lang w:val="en-US"/>
        </w:rPr>
        <w:t xml:space="preserve">5</w:t>
      </w:r>
    </w:p>
    <w:sectPr>
      <w:type w:val="continuous"/>
      <w:pgSz w:w="12240" w:h="15840" w:orient="portrait"/>
      <w:pgMar w:bottom="664" w:top="1440" w:right="2140" w:left="2140" w:header="720" w:footer="720"/>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s>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abstractNum w:abstractNumId="1">
    <w:lvl w:ilvl="0">
      <w:start w:val="1"/>
      <w:numFmt w:val="decimal"/>
      <w:lvlText w:val="%1."/>
      <w:pPr>
        <w:tabs>
          <w:tab w:val="left" w:pos="720"/>
        </w:tabs>
      </w:pPr>
      <w:rPr>
        <w:rFonts w:ascii="Arial" w:hAnsi="Arial" w:eastAsia="Arial"/>
        <w:color w:val="000000"/>
        <w:spacing w:val="0"/>
        <w:w w:val="100"/>
        <w:sz w:val="28"/>
        <w:vertAlign w:val="baseline"/>
        <w:lang w:val="en-US"/>
      </w:rPr>
    </w:lvl>
  </w:abstractNum>
  <w:abstractNum w:abstractNumId="2">
    <w:lvl w:ilvl="0">
      <w:start w:val="1"/>
      <w:numFmt w:val="decimal"/>
      <w:lvlText w:val="(%1)"/>
      <w:pPr>
        <w:tabs>
          <w:tab w:val="left" w:pos="504"/>
        </w:tabs>
      </w:pPr>
      <w:rPr>
        <w:rFonts w:ascii="Arial" w:hAnsi="Arial" w:eastAsia="Arial"/>
        <w:color w:val="000000"/>
        <w:spacing w:val="0"/>
        <w:w w:val="100"/>
        <w:sz w:val="28"/>
        <w:vertAlign w:val="baseline"/>
        <w:lang w:val="en-US"/>
      </w:rPr>
    </w:lvl>
  </w:abstractNum>
  <w:num w:numId="1">
    <w:abstractNumId w:val="1"/>
  </w:num>
  <w:num w:numId="2">
    <w:abstractNumId w:val="2"/>
  </w:num>
</w:numbering>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compat>
    <w:shapeLayoutLikeWW8/>
    <w:doNotUseHTMLParagraphAutoSpacing/>
    <w:applyBreakingRules/>
    <w:useFELayout/>
    <w:doNotUseIndentAsNumberingTabStop/>
    <w:compatSetting w:val="14" w:uri="http://schemas.microsoft.com/office/word" w:name="compatibilityMode"/>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docDefaults>
    <w:rPrDefault>
      <w:rPr>
        <w:rFonts w:ascii="Times New Roman" w:hAnsi="Times New Roman" w:eastAsia="PMingLiU" w:cs="Times New Roman"/>
        <w:sz w:val="22"/>
        <w:szCs w:val="22"/>
        <w:lang w:val="en-US" w:eastAsia="en-US" w:bidi="ar-SA"/>
      </w:rPr>
    </w:rPrDefault>
    <w:pPrDefault/>
  </w:docDefaults>
  <w:style w:styleId="Normal" w:default="1" w:type="paragraph">
    <w:name w:val="Normal"/>
  </w:style>
</w:styles>
</file>

<file path=word/_rels/document.xml.rels><Relationships xmlns="http://schemas.openxmlformats.org/package/2006/relationships"><Relationship Id="nId" Type="http://schemas.openxmlformats.org/officeDocument/2006/relationships/numbering" Target="numbering.xml"/><Relationship Id="fId" Type="http://schemas.openxmlformats.org/wordprocessingml/2006/fontTable" Target="fontTable.xml"/><Relationship Id="styleId" Type="http://schemas.openxmlformats.org/officeDocument/2006/relationships/styles" Target="styles.xml"/><Relationship Id="settingId" Type="http://schemas.openxmlformats.org/officeDocument/2006/relationships/settings" Target="settings.xml"/></Relationships>
</file>

<file path=docProps/core.xml><?xml version="1.0" encoding="utf-8"?>
<cp:coreProperti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