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F822" w14:textId="77777777" w:rsidR="00B068CF" w:rsidRDefault="00B068CF">
      <w:pPr>
        <w:kinsoku w:val="0"/>
        <w:overflowPunct w:val="0"/>
        <w:autoSpaceDE/>
        <w:autoSpaceDN/>
        <w:adjustRightInd/>
        <w:spacing w:before="8" w:line="331" w:lineRule="exact"/>
        <w:jc w:val="center"/>
        <w:textAlignment w:val="baseline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MURDER IN THE FIRST DEGREE</w:t>
      </w:r>
      <w:r>
        <w:rPr>
          <w:rFonts w:ascii="Arial" w:hAnsi="Arial"/>
          <w:b/>
          <w:sz w:val="28"/>
        </w:rPr>
        <w:br/>
        <w:t>(Intentional Murder In Course and Furtherance of</w:t>
      </w:r>
      <w:r>
        <w:rPr>
          <w:rFonts w:ascii="Arial" w:hAnsi="Arial"/>
          <w:b/>
          <w:sz w:val="28"/>
        </w:rPr>
        <w:br/>
        <w:t>Immediate Flight from</w:t>
      </w:r>
      <w:r>
        <w:rPr>
          <w:rFonts w:ascii="Arial" w:hAnsi="Arial"/>
          <w:b/>
          <w:sz w:val="28"/>
        </w:rPr>
        <w:br/>
        <w:t>Attempted Murder;</w:t>
      </w:r>
      <w:r>
        <w:rPr>
          <w:rFonts w:ascii="Arial" w:hAnsi="Arial"/>
          <w:b/>
          <w:sz w:val="28"/>
        </w:rPr>
        <w:br/>
        <w:t>Person Who Commands Killer)</w:t>
      </w:r>
      <w:r>
        <w:rPr>
          <w:rFonts w:ascii="Arial" w:hAnsi="Arial"/>
          <w:b/>
          <w:sz w:val="28"/>
        </w:rPr>
        <w:br/>
        <w:t>Penal Law § 125.27(1)(a)(vii)</w:t>
      </w:r>
      <w:r>
        <w:rPr>
          <w:rFonts w:ascii="Arial" w:hAnsi="Arial"/>
          <w:b/>
          <w:sz w:val="28"/>
        </w:rPr>
        <w:br/>
        <w:t>(Committed on or after Sept. 1, 1995)</w:t>
      </w:r>
      <w:r>
        <w:rPr>
          <w:rFonts w:ascii="Arial" w:hAnsi="Arial"/>
          <w:b/>
          <w:sz w:val="28"/>
        </w:rPr>
        <w:br/>
        <w:t>(Revised Oct. 25, 2001)</w:t>
      </w:r>
    </w:p>
    <w:p w14:paraId="4F5AF283" w14:textId="77777777" w:rsidR="00B068CF" w:rsidRDefault="00B068CF">
      <w:pPr>
        <w:kinsoku w:val="0"/>
        <w:overflowPunct w:val="0"/>
        <w:autoSpaceDE/>
        <w:autoSpaceDN/>
        <w:adjustRightInd/>
        <w:spacing w:before="652" w:line="325" w:lineRule="exact"/>
        <w:jc w:val="center"/>
        <w:textAlignment w:val="baseline"/>
        <w:rPr>
          <w:rFonts w:ascii="Arial" w:hAnsi="Arial"/>
          <w:spacing w:val="-1"/>
          <w:sz w:val="28"/>
        </w:rPr>
      </w:pPr>
      <w:r>
        <w:rPr>
          <w:rFonts w:ascii="Arial" w:hAnsi="Arial"/>
          <w:spacing w:val="-1"/>
          <w:sz w:val="28"/>
        </w:rPr>
        <w:t xml:space="preserve">The </w:t>
      </w:r>
      <w:r>
        <w:rPr>
          <w:rFonts w:ascii="Arial" w:hAnsi="Arial"/>
          <w:spacing w:val="-1"/>
          <w:sz w:val="28"/>
          <w:u w:val="single"/>
        </w:rPr>
        <w:t>(</w:t>
      </w:r>
      <w:r>
        <w:rPr>
          <w:rFonts w:ascii="Arial" w:hAnsi="Arial"/>
          <w:i/>
          <w:spacing w:val="-1"/>
          <w:sz w:val="28"/>
          <w:u w:val="single"/>
        </w:rPr>
        <w:t>specify</w:t>
      </w:r>
      <w:r>
        <w:rPr>
          <w:rFonts w:ascii="Arial" w:hAnsi="Arial"/>
          <w:spacing w:val="-1"/>
          <w:sz w:val="28"/>
          <w:u w:val="single"/>
        </w:rPr>
        <w:t xml:space="preserve">) </w:t>
      </w:r>
      <w:r>
        <w:rPr>
          <w:rFonts w:ascii="Arial" w:hAnsi="Arial"/>
          <w:spacing w:val="-1"/>
          <w:sz w:val="28"/>
        </w:rPr>
        <w:t xml:space="preserve"> count is Murder in the First Degree.</w:t>
      </w:r>
    </w:p>
    <w:p w14:paraId="6F167456" w14:textId="77777777" w:rsidR="00B068CF" w:rsidRDefault="00B068CF">
      <w:pPr>
        <w:kinsoku w:val="0"/>
        <w:overflowPunct w:val="0"/>
        <w:autoSpaceDE/>
        <w:autoSpaceDN/>
        <w:adjustRightInd/>
        <w:spacing w:before="304" w:line="325" w:lineRule="exact"/>
        <w:ind w:firstLine="720"/>
        <w:jc w:val="both"/>
        <w:textAlignment w:val="baseline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Under our law, a defendant is guilty of Murder in the First Degree when, with intent to cause the death of another person, the defendant causes the death of such person [</w:t>
      </w:r>
      <w:r>
        <w:rPr>
          <w:rFonts w:ascii="Arial" w:hAnsi="Arial"/>
          <w:i/>
          <w:spacing w:val="-3"/>
          <w:sz w:val="28"/>
        </w:rPr>
        <w:t xml:space="preserve">or </w:t>
      </w:r>
      <w:r>
        <w:rPr>
          <w:rFonts w:ascii="Arial" w:hAnsi="Arial"/>
          <w:spacing w:val="-3"/>
          <w:sz w:val="28"/>
        </w:rPr>
        <w:t>of a third person]</w:t>
      </w:r>
      <w:r>
        <w:rPr>
          <w:rFonts w:ascii="Arial" w:hAnsi="Arial"/>
          <w:spacing w:val="-3"/>
          <w:sz w:val="28"/>
          <w:vertAlign w:val="superscript"/>
        </w:rPr>
        <w:t>1</w:t>
      </w:r>
      <w:r>
        <w:rPr>
          <w:rFonts w:ascii="Arial" w:hAnsi="Arial"/>
          <w:spacing w:val="-3"/>
          <w:sz w:val="28"/>
        </w:rPr>
        <w:t xml:space="preserve"> while the defendant was in the course of and furtherance of immediate flight after attempting to commit murder in the second degree, provided that the victim was not a participant in the attempted murder, and provided further that the defendant caused the death of the victim by commanding another person to cause the death of the victim [</w:t>
      </w:r>
      <w:r>
        <w:rPr>
          <w:rFonts w:ascii="Arial" w:hAnsi="Arial"/>
          <w:i/>
          <w:spacing w:val="-3"/>
          <w:sz w:val="28"/>
        </w:rPr>
        <w:t xml:space="preserve">or </w:t>
      </w:r>
      <w:r>
        <w:rPr>
          <w:rFonts w:ascii="Arial" w:hAnsi="Arial"/>
          <w:spacing w:val="-3"/>
          <w:sz w:val="28"/>
        </w:rPr>
        <w:t>intended victim], and the defendant was more than eighteen (18) years old at the time of the commission of the crime.</w:t>
      </w:r>
    </w:p>
    <w:p w14:paraId="4B7A04E6" w14:textId="77777777" w:rsidR="00B068CF" w:rsidRDefault="00B068CF">
      <w:pPr>
        <w:kinsoku w:val="0"/>
        <w:overflowPunct w:val="0"/>
        <w:autoSpaceDE/>
        <w:autoSpaceDN/>
        <w:adjustRightInd/>
        <w:spacing w:before="324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terms used in that definition have a special meaning:</w:t>
      </w:r>
    </w:p>
    <w:p w14:paraId="231AB68F" w14:textId="77777777" w:rsidR="00B068CF" w:rsidRDefault="00B068CF">
      <w:pPr>
        <w:kinsoku w:val="0"/>
        <w:overflowPunct w:val="0"/>
        <w:autoSpaceDE/>
        <w:autoSpaceDN/>
        <w:adjustRightInd/>
        <w:spacing w:before="313" w:line="325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INTENT means conscious objective or purpose. Thus, a person intends to cause the death of another person when his or her conscious objective or purpose is to cause the death of that person.</w:t>
      </w:r>
      <w:r>
        <w:rPr>
          <w:rFonts w:ascii="Arial" w:hAnsi="Arial"/>
          <w:sz w:val="28"/>
          <w:vertAlign w:val="superscript"/>
        </w:rPr>
        <w:t>2</w:t>
      </w:r>
    </w:p>
    <w:p w14:paraId="52DA5EF8" w14:textId="77777777" w:rsidR="00B068CF" w:rsidRDefault="00B068CF">
      <w:pPr>
        <w:kinsoku w:val="0"/>
        <w:overflowPunct w:val="0"/>
        <w:autoSpaceDE/>
        <w:autoSpaceDN/>
        <w:adjustRightInd/>
        <w:spacing w:before="329" w:after="594" w:line="325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>
        <w:rPr>
          <w:rFonts w:ascii="Arial" w:hAnsi="Arial"/>
          <w:i/>
          <w:sz w:val="28"/>
        </w:rPr>
        <w:t>Add charge on attempted murder</w:t>
      </w:r>
      <w:r>
        <w:rPr>
          <w:rFonts w:ascii="Arial" w:hAnsi="Arial"/>
          <w:sz w:val="28"/>
        </w:rPr>
        <w:t>)</w:t>
      </w:r>
    </w:p>
    <w:p w14:paraId="1E7A33D3" w14:textId="4458DF9C" w:rsidR="00B068CF" w:rsidRDefault="008A7321">
      <w:pPr>
        <w:kinsoku w:val="0"/>
        <w:overflowPunct w:val="0"/>
        <w:autoSpaceDE/>
        <w:autoSpaceDN/>
        <w:adjustRightInd/>
        <w:spacing w:before="289" w:line="252" w:lineRule="exact"/>
        <w:ind w:firstLine="216"/>
        <w:jc w:val="both"/>
        <w:textAlignment w:val="baseline"/>
        <w:rPr>
          <w:rFonts w:ascii="Arial" w:hAns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8246EF3" wp14:editId="179B8563">
                <wp:simplePos x="0" y="0"/>
                <wp:positionH relativeFrom="page">
                  <wp:posOffset>1371600</wp:posOffset>
                </wp:positionH>
                <wp:positionV relativeFrom="page">
                  <wp:posOffset>8134985</wp:posOffset>
                </wp:positionV>
                <wp:extent cx="1829435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C11E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40.55pt" to="252.05pt,6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QX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 w:rsidR="00B068CF">
        <w:rPr>
          <w:rFonts w:ascii="Arial" w:hAnsi="Arial"/>
          <w:sz w:val="16"/>
          <w:vertAlign w:val="superscript"/>
        </w:rPr>
        <w:t>1</w:t>
      </w:r>
      <w:r w:rsidR="00B068CF">
        <w:rPr>
          <w:rFonts w:ascii="Arial" w:hAnsi="Arial"/>
          <w:sz w:val="21"/>
        </w:rPr>
        <w:t>If transferred intent applies and is in issue, see Additional Charges at the end of this article.</w:t>
      </w:r>
    </w:p>
    <w:p w14:paraId="5122F66D" w14:textId="77777777" w:rsidR="00B068CF" w:rsidRDefault="00B068CF">
      <w:pPr>
        <w:kinsoku w:val="0"/>
        <w:overflowPunct w:val="0"/>
        <w:autoSpaceDE/>
        <w:autoSpaceDN/>
        <w:adjustRightInd/>
        <w:spacing w:before="247" w:line="280" w:lineRule="exact"/>
        <w:ind w:firstLine="216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21"/>
        </w:rPr>
        <w:t xml:space="preserve">See Penal Law § 15.05(1). </w:t>
      </w:r>
      <w:r>
        <w:rPr>
          <w:rFonts w:ascii="Arial" w:hAnsi="Arial"/>
          <w:sz w:val="24"/>
        </w:rPr>
        <w:t>For an expanded charge on intent, see General Charges, Culpable Mental States, Intent.</w:t>
      </w:r>
    </w:p>
    <w:p w14:paraId="45548618" w14:textId="77777777" w:rsidR="00B068CF" w:rsidRDefault="00B068CF">
      <w:pPr>
        <w:widowControl/>
        <w:rPr>
          <w:sz w:val="24"/>
        </w:rPr>
        <w:sectPr w:rsidR="00B068CF">
          <w:pgSz w:w="12240" w:h="15840"/>
          <w:pgMar w:top="1440" w:right="2140" w:bottom="1024" w:left="2160" w:header="720" w:footer="0" w:gutter="0"/>
          <w:cols w:space="720"/>
          <w:noEndnote/>
        </w:sectPr>
      </w:pPr>
    </w:p>
    <w:p w14:paraId="56A92008" w14:textId="577C7BC6" w:rsidR="00B068CF" w:rsidRDefault="008A7321">
      <w:pPr>
        <w:kinsoku w:val="0"/>
        <w:overflowPunct w:val="0"/>
        <w:autoSpaceDE/>
        <w:autoSpaceDN/>
        <w:adjustRightInd/>
        <w:spacing w:before="40" w:line="323" w:lineRule="exact"/>
        <w:ind w:left="720"/>
        <w:textAlignment w:val="baseline"/>
        <w:rPr>
          <w:rFonts w:ascii="Arial" w:hAnsi="Arial"/>
          <w:spacing w:val="-1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38C14A00" wp14:editId="3993003A">
                <wp:simplePos x="0" y="0"/>
                <wp:positionH relativeFrom="page">
                  <wp:posOffset>1369695</wp:posOffset>
                </wp:positionH>
                <wp:positionV relativeFrom="page">
                  <wp:posOffset>7689850</wp:posOffset>
                </wp:positionV>
                <wp:extent cx="183134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15805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85pt,605.5pt" to="252.05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i8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 w:rsidR="00B068CF">
        <w:rPr>
          <w:rFonts w:ascii="Arial" w:hAnsi="Arial"/>
          <w:spacing w:val="-1"/>
          <w:sz w:val="28"/>
        </w:rPr>
        <w:t xml:space="preserve">COMMAND means to direct authoritatively. </w:t>
      </w:r>
      <w:r w:rsidR="00B068CF">
        <w:rPr>
          <w:rFonts w:ascii="Arial" w:hAnsi="Arial"/>
          <w:spacing w:val="-1"/>
          <w:sz w:val="28"/>
          <w:vertAlign w:val="superscript"/>
        </w:rPr>
        <w:t>3</w:t>
      </w:r>
    </w:p>
    <w:p w14:paraId="313EC087" w14:textId="77777777" w:rsidR="00B068CF" w:rsidRDefault="00B068CF">
      <w:pPr>
        <w:kinsoku w:val="0"/>
        <w:overflowPunct w:val="0"/>
        <w:autoSpaceDE/>
        <w:autoSpaceDN/>
        <w:adjustRightInd/>
        <w:spacing w:before="333" w:line="323" w:lineRule="exact"/>
        <w:ind w:firstLine="720"/>
        <w:jc w:val="both"/>
        <w:textAlignment w:val="baseline"/>
        <w:rPr>
          <w:rFonts w:ascii="Arial" w:hAnsi="Arial"/>
          <w:spacing w:val="-3"/>
          <w:sz w:val="17"/>
        </w:rPr>
      </w:pPr>
      <w:r>
        <w:rPr>
          <w:rFonts w:ascii="Arial" w:hAnsi="Arial"/>
          <w:spacing w:val="-3"/>
          <w:sz w:val="28"/>
        </w:rPr>
        <w:t>In determining whether a person is in IMMEDIATE FLIGHT from the attempted commission of murder you may consider: (1) the distance, if any, between the location of the attempted murder and the location where death was caused; (2) the interval of time, if any, between the attempted commission of the murder and the causing of the death; (3) whether [police, security personnel, citizens] were in close pursuit at the time the death was caused; and (4) whether such person had reached a place of temporary safety before the death was caused.</w:t>
      </w:r>
      <w:r>
        <w:rPr>
          <w:rFonts w:ascii="Arial" w:hAnsi="Arial"/>
          <w:spacing w:val="-3"/>
          <w:sz w:val="28"/>
          <w:vertAlign w:val="superscript"/>
        </w:rPr>
        <w:t>4</w:t>
      </w:r>
    </w:p>
    <w:p w14:paraId="4F6CCAEA" w14:textId="77777777" w:rsidR="00B068CF" w:rsidRDefault="00B068CF">
      <w:pPr>
        <w:kinsoku w:val="0"/>
        <w:overflowPunct w:val="0"/>
        <w:autoSpaceDE/>
        <w:autoSpaceDN/>
        <w:adjustRightInd/>
        <w:spacing w:before="658" w:line="323" w:lineRule="exact"/>
        <w:ind w:firstLine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In order for you to find the defendant guilty of this crime, the People are required to prove, from all the evidence in the case, beyond a reasonable doubt, each of the following five elements:</w:t>
      </w:r>
    </w:p>
    <w:p w14:paraId="1BB164FA" w14:textId="77777777" w:rsidR="00B068CF" w:rsidRDefault="00B068C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7" w:line="323" w:lineRule="exact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That on or about </w:t>
      </w:r>
      <w:r>
        <w:rPr>
          <w:rFonts w:ascii="Arial" w:hAnsi="Arial"/>
          <w:i/>
          <w:sz w:val="23"/>
          <w:u w:val="single"/>
        </w:rPr>
        <w:t xml:space="preserve"> (date)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i/>
          <w:sz w:val="23"/>
          <w:u w:val="single"/>
        </w:rPr>
        <w:t xml:space="preserve"> (county) </w:t>
      </w:r>
      <w:r>
        <w:rPr>
          <w:rFonts w:ascii="Arial" w:hAnsi="Arial"/>
          <w:sz w:val="28"/>
        </w:rPr>
        <w:t xml:space="preserve"> , the defendant, </w:t>
      </w:r>
      <w:r>
        <w:rPr>
          <w:rFonts w:ascii="Arial" w:hAnsi="Arial"/>
          <w:i/>
          <w:sz w:val="23"/>
          <w:u w:val="single"/>
        </w:rPr>
        <w:t xml:space="preserve"> (defendant's name) </w:t>
      </w:r>
      <w:r>
        <w:rPr>
          <w:rFonts w:ascii="Arial" w:hAnsi="Arial"/>
          <w:sz w:val="28"/>
        </w:rPr>
        <w:t xml:space="preserve"> , caused the death of </w:t>
      </w:r>
      <w:r>
        <w:rPr>
          <w:rFonts w:ascii="Arial" w:hAnsi="Arial"/>
          <w:i/>
          <w:sz w:val="23"/>
          <w:u w:val="single"/>
        </w:rPr>
        <w:t>(actual victim)</w:t>
      </w:r>
      <w:r>
        <w:rPr>
          <w:rFonts w:ascii="Arial" w:hAnsi="Arial"/>
          <w:sz w:val="28"/>
        </w:rPr>
        <w:t>;</w:t>
      </w:r>
    </w:p>
    <w:p w14:paraId="7F7B88DB" w14:textId="77777777" w:rsidR="00B068CF" w:rsidRDefault="00B068C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8" w:line="323" w:lineRule="exact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That the defendant did so by commanding another person to cause the death of </w:t>
      </w:r>
      <w:r>
        <w:rPr>
          <w:rFonts w:ascii="Arial" w:hAnsi="Arial"/>
          <w:i/>
          <w:sz w:val="23"/>
          <w:u w:val="single"/>
        </w:rPr>
        <w:t xml:space="preserve"> (intended victim)</w:t>
      </w:r>
      <w:r>
        <w:rPr>
          <w:rFonts w:ascii="Arial" w:hAnsi="Arial"/>
          <w:sz w:val="28"/>
        </w:rPr>
        <w:t>;</w:t>
      </w:r>
    </w:p>
    <w:p w14:paraId="413E490C" w14:textId="77777777" w:rsidR="00B068CF" w:rsidRDefault="00B068C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1" w:lineRule="exact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That the defendant did so with the intent to cause the death of </w:t>
      </w:r>
      <w:r>
        <w:rPr>
          <w:rFonts w:ascii="Arial" w:hAnsi="Arial"/>
          <w:i/>
          <w:sz w:val="23"/>
          <w:u w:val="single"/>
        </w:rPr>
        <w:t xml:space="preserve"> (intended victim)</w:t>
      </w:r>
      <w:r>
        <w:rPr>
          <w:rFonts w:ascii="Arial" w:hAnsi="Arial"/>
          <w:sz w:val="28"/>
        </w:rPr>
        <w:t>;</w:t>
      </w:r>
    </w:p>
    <w:p w14:paraId="0D852535" w14:textId="77777777" w:rsidR="00B068CF" w:rsidRDefault="00B068C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34" w:after="604" w:line="323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</w:t>
      </w:r>
      <w:r>
        <w:rPr>
          <w:rFonts w:ascii="Arial" w:hAnsi="Arial"/>
          <w:i/>
          <w:sz w:val="23"/>
          <w:u w:val="single"/>
        </w:rPr>
        <w:t xml:space="preserve"> (actual victim) </w:t>
      </w:r>
      <w:r>
        <w:rPr>
          <w:rFonts w:ascii="Arial" w:hAnsi="Arial"/>
          <w:sz w:val="28"/>
        </w:rPr>
        <w:t xml:space="preserve"> was killed while the defendant was in the course of and furtherance of immediate flight after attempting to commit the crime of murder and that </w:t>
      </w:r>
      <w:r>
        <w:rPr>
          <w:rFonts w:ascii="Arial" w:hAnsi="Arial"/>
          <w:i/>
          <w:sz w:val="23"/>
          <w:u w:val="single"/>
        </w:rPr>
        <w:t xml:space="preserve"> (victim) </w:t>
      </w:r>
      <w:r>
        <w:rPr>
          <w:rFonts w:ascii="Arial" w:hAnsi="Arial"/>
          <w:sz w:val="28"/>
        </w:rPr>
        <w:t xml:space="preserve"> was not a participant in the attempted murder; and</w:t>
      </w:r>
    </w:p>
    <w:p w14:paraId="47F11F8C" w14:textId="77777777" w:rsidR="00B068CF" w:rsidRDefault="00B068CF">
      <w:pPr>
        <w:kinsoku w:val="0"/>
        <w:overflowPunct w:val="0"/>
        <w:autoSpaceDE/>
        <w:autoSpaceDN/>
        <w:adjustRightInd/>
        <w:spacing w:before="263" w:line="274" w:lineRule="exact"/>
        <w:ind w:left="288"/>
        <w:textAlignment w:val="baseline"/>
        <w:rPr>
          <w:spacing w:val="2"/>
          <w:sz w:val="24"/>
        </w:rPr>
      </w:pPr>
      <w:r>
        <w:rPr>
          <w:spacing w:val="2"/>
          <w:sz w:val="14"/>
          <w:vertAlign w:val="superscript"/>
        </w:rPr>
        <w:t>3</w:t>
      </w:r>
      <w:r>
        <w:rPr>
          <w:i/>
          <w:spacing w:val="2"/>
          <w:sz w:val="24"/>
        </w:rPr>
        <w:t xml:space="preserve"> People v. Couser</w:t>
      </w:r>
      <w:r>
        <w:rPr>
          <w:spacing w:val="2"/>
          <w:sz w:val="24"/>
        </w:rPr>
        <w:t>, 94 N.Y.2d 631(2000)</w:t>
      </w:r>
    </w:p>
    <w:p w14:paraId="085407AB" w14:textId="77777777" w:rsidR="00B068CF" w:rsidRDefault="00B068CF">
      <w:pPr>
        <w:kinsoku w:val="0"/>
        <w:overflowPunct w:val="0"/>
        <w:autoSpaceDE/>
        <w:autoSpaceDN/>
        <w:adjustRightInd/>
        <w:spacing w:before="291" w:line="242" w:lineRule="exact"/>
        <w:ind w:firstLine="288"/>
        <w:jc w:val="both"/>
        <w:textAlignment w:val="baseline"/>
        <w:rPr>
          <w:rFonts w:ascii="Arial" w:hAnsi="Arial"/>
          <w:spacing w:val="-3"/>
          <w:sz w:val="21"/>
        </w:rPr>
      </w:pPr>
      <w:r>
        <w:rPr>
          <w:rFonts w:ascii="Arial" w:hAnsi="Arial"/>
          <w:spacing w:val="-3"/>
          <w:sz w:val="16"/>
          <w:vertAlign w:val="superscript"/>
        </w:rPr>
        <w:t>4</w:t>
      </w:r>
      <w:r>
        <w:rPr>
          <w:rFonts w:ascii="Arial" w:hAnsi="Arial"/>
          <w:spacing w:val="-3"/>
          <w:sz w:val="21"/>
        </w:rPr>
        <w:t xml:space="preserve">Adapted from </w:t>
      </w:r>
      <w:r>
        <w:rPr>
          <w:rFonts w:ascii="Arial" w:hAnsi="Arial"/>
          <w:i/>
          <w:spacing w:val="-3"/>
          <w:sz w:val="21"/>
        </w:rPr>
        <w:t>People v Gladman</w:t>
      </w:r>
      <w:r>
        <w:rPr>
          <w:rFonts w:ascii="Arial" w:hAnsi="Arial"/>
          <w:spacing w:val="-3"/>
          <w:sz w:val="21"/>
        </w:rPr>
        <w:t>, 41 N.Y.2d 123, 129 (1976). The factor of whether the defendant possessed fruits of the crime has been omitted; any other factors which are inapplicable to the case should be omitted in the charge to the jury.</w:t>
      </w:r>
    </w:p>
    <w:p w14:paraId="1AB6DB61" w14:textId="77777777" w:rsidR="00B068CF" w:rsidRDefault="00B068CF">
      <w:pPr>
        <w:widowControl/>
        <w:rPr>
          <w:sz w:val="24"/>
        </w:rPr>
        <w:sectPr w:rsidR="00B068CF">
          <w:footerReference w:type="default" r:id="rId7"/>
          <w:pgSz w:w="12240" w:h="15840"/>
          <w:pgMar w:top="1400" w:right="2143" w:bottom="1546" w:left="2157" w:header="720" w:footer="1704" w:gutter="0"/>
          <w:cols w:space="720"/>
          <w:noEndnote/>
        </w:sectPr>
      </w:pPr>
    </w:p>
    <w:p w14:paraId="740ACAD0" w14:textId="77777777" w:rsidR="00B068CF" w:rsidRDefault="00B068CF">
      <w:pPr>
        <w:tabs>
          <w:tab w:val="right" w:pos="7920"/>
        </w:tabs>
        <w:kinsoku w:val="0"/>
        <w:overflowPunct w:val="0"/>
        <w:autoSpaceDE/>
        <w:autoSpaceDN/>
        <w:adjustRightInd/>
        <w:spacing w:before="8" w:line="320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5.</w:t>
      </w:r>
      <w:r>
        <w:rPr>
          <w:rFonts w:ascii="Arial" w:hAnsi="Arial"/>
          <w:sz w:val="28"/>
        </w:rPr>
        <w:tab/>
        <w:t>That the defendant was more than eighteen (18)</w:t>
      </w:r>
    </w:p>
    <w:p w14:paraId="5D137EB4" w14:textId="77777777" w:rsidR="00B068CF" w:rsidRDefault="00B068CF">
      <w:pPr>
        <w:kinsoku w:val="0"/>
        <w:overflowPunct w:val="0"/>
        <w:autoSpaceDE/>
        <w:autoSpaceDN/>
        <w:adjustRightInd/>
        <w:spacing w:before="7" w:line="320" w:lineRule="exact"/>
        <w:jc w:val="right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years old at the time of the commission of the crime.</w:t>
      </w:r>
    </w:p>
    <w:p w14:paraId="4FF0A405" w14:textId="77777777" w:rsidR="00B068CF" w:rsidRDefault="00B068CF">
      <w:pPr>
        <w:kinsoku w:val="0"/>
        <w:overflowPunct w:val="0"/>
        <w:autoSpaceDE/>
        <w:autoSpaceDN/>
        <w:adjustRightInd/>
        <w:spacing w:before="650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beyond a reasonable doubt each of those elements, you must find the defendant guilty of this crime.</w:t>
      </w:r>
    </w:p>
    <w:p w14:paraId="5DD12B7B" w14:textId="77777777" w:rsidR="00B068CF" w:rsidRDefault="00B068CF">
      <w:pPr>
        <w:kinsoku w:val="0"/>
        <w:overflowPunct w:val="0"/>
        <w:autoSpaceDE/>
        <w:autoSpaceDN/>
        <w:adjustRightInd/>
        <w:spacing w:before="319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beyond a reasonable doubt any one or more of those elements, you must find the defendant not guilty of this crime.</w:t>
      </w:r>
    </w:p>
    <w:p w14:paraId="3C7DFB74" w14:textId="77777777" w:rsidR="00B068CF" w:rsidRDefault="00B068CF">
      <w:pPr>
        <w:kinsoku w:val="0"/>
        <w:overflowPunct w:val="0"/>
        <w:autoSpaceDE/>
        <w:autoSpaceDN/>
        <w:adjustRightInd/>
        <w:spacing w:before="331" w:line="320" w:lineRule="exact"/>
        <w:jc w:val="both"/>
        <w:textAlignment w:val="baseline"/>
        <w:rPr>
          <w:rFonts w:ascii="Arial" w:hAnsi="Arial"/>
          <w:i/>
          <w:spacing w:val="-2"/>
          <w:sz w:val="28"/>
        </w:rPr>
      </w:pPr>
      <w:r>
        <w:rPr>
          <w:rFonts w:ascii="Arial" w:hAnsi="Arial"/>
          <w:i/>
          <w:spacing w:val="-2"/>
          <w:sz w:val="28"/>
        </w:rPr>
        <w:t>[NOTE: If either of the affirmative defenses -- Extreme Emotional Disturbance (§ 125.27(2)(a)) or Aiding a Suicide (§ 125.27(2)(b)) -- applies, omit the final two paragraphs of the above charge, and substitute one of the charges at the end of this article.]</w:t>
      </w:r>
    </w:p>
    <w:sectPr w:rsidR="00B068CF" w:rsidSect="00B068CF">
      <w:pgSz w:w="12240" w:h="15840"/>
      <w:pgMar w:top="1440" w:right="2140" w:bottom="1539" w:left="2153" w:header="720" w:footer="16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3304" w14:textId="77777777" w:rsidR="00B068CF" w:rsidRDefault="00B068CF" w:rsidP="00B068CF">
      <w:r>
        <w:separator/>
      </w:r>
    </w:p>
  </w:endnote>
  <w:endnote w:type="continuationSeparator" w:id="0">
    <w:p w14:paraId="16FAD175" w14:textId="77777777" w:rsidR="00B068CF" w:rsidRDefault="00B068CF" w:rsidP="00B0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B17C" w14:textId="77777777" w:rsidR="00B068CF" w:rsidRDefault="00B068CF">
    <w:pPr>
      <w:keepNext/>
      <w:keepLines/>
      <w:tabs>
        <w:tab w:val="left" w:pos="3829"/>
      </w:tabs>
      <w:kinsoku w:val="0"/>
      <w:overflowPunct w:val="0"/>
      <w:autoSpaceDE/>
      <w:autoSpaceDN/>
      <w:adjustRightInd/>
      <w:spacing w:line="288" w:lineRule="exact"/>
      <w:textAlignment w:val="baseline"/>
      <w:rPr>
        <w:rFonts w:ascii="Arial" w:hAnsi="Arial"/>
        <w:sz w:val="26"/>
      </w:rPr>
    </w:pPr>
    <w:r>
      <w:rPr>
        <w:sz w:val="24"/>
      </w:rPr>
      <w:tab/>
    </w:r>
    <w:r>
      <w:rPr>
        <w:rFonts w:ascii="Arial" w:hAnsi="Arial"/>
        <w:sz w:val="2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C727" w14:textId="77777777" w:rsidR="00B068CF" w:rsidRDefault="00B068CF" w:rsidP="00B068CF">
      <w:r>
        <w:separator/>
      </w:r>
    </w:p>
  </w:footnote>
  <w:footnote w:type="continuationSeparator" w:id="0">
    <w:p w14:paraId="7147392B" w14:textId="77777777" w:rsidR="00B068CF" w:rsidRDefault="00B068CF" w:rsidP="00B0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C322"/>
    <w:multiLevelType w:val="singleLevel"/>
    <w:tmpl w:val="4B8A0C6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napToGrid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CF"/>
    <w:rsid w:val="008A7321"/>
    <w:rsid w:val="00B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4BFC157"/>
  <w14:defaultImageDpi w14:val="0"/>
  <w15:docId w15:val="{3E0CC4DD-0198-4AC7-817C-8F6ACB93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2019-02-19T03:46:00Z</dcterms:created>
  <dcterms:modified xsi:type="dcterms:W3CDTF">2019-02-19T03:46:00Z</dcterms:modified>
</cp:coreProperties>
</file>