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MURDER FIRST DEGREE</w:t>
        <w:br/>
      </w:r>
      <w:r>
        <w:rPr>
          <w:rFonts w:ascii="Arial" w:hAnsi="Arial" w:eastAsia="Arial"/>
          <w:strike w:val="false"/>
          <w:color w:val="000000"/>
          <w:spacing w:val="0"/>
          <w:w w:val="100"/>
          <w:sz w:val="28"/>
          <w:vertAlign w:val="baseline"/>
          <w:lang w:val="en-US"/>
        </w:rPr>
        <w:t xml:space="preserve">(Intentional Murder in Furtherance of Act of Terrorism)</w:t>
        <w:br/>
      </w:r>
      <w:r>
        <w:rPr>
          <w:rFonts w:ascii="Arial" w:hAnsi="Arial" w:eastAsia="Arial"/>
          <w:strike w:val="false"/>
          <w:color w:val="000000"/>
          <w:spacing w:val="0"/>
          <w:w w:val="100"/>
          <w:sz w:val="28"/>
          <w:vertAlign w:val="baseline"/>
          <w:lang w:val="en-US"/>
        </w:rPr>
        <w:t xml:space="preserve">Penal Law § 125.27 (1)(a)(xiii)</w:t>
        <w:br/>
      </w:r>
      <w:r>
        <w:rPr>
          <w:rFonts w:ascii="Arial" w:hAnsi="Arial" w:eastAsia="Arial"/>
          <w:strike w:val="false"/>
          <w:color w:val="000000"/>
          <w:spacing w:val="0"/>
          <w:w w:val="100"/>
          <w:sz w:val="28"/>
          <w:vertAlign w:val="baseline"/>
          <w:lang w:val="en-US"/>
        </w:rPr>
        <w:t xml:space="preserve">(Committed on or after September 17, 2001)</w:t>
      </w:r>
    </w:p>
    <w:p>
      <w:pPr>
        <w:pageBreakBefore w:val="false"/>
        <w:spacing w:before="329" w:after="0" w:line="323"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Murder in the First Degree.</w:t>
      </w:r>
    </w:p>
    <w:p>
      <w:pPr>
        <w:pageBreakBefore w:val="false"/>
        <w:spacing w:before="32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defendant is guilty of Murder in the First Degree when, with intent to cause the death of another person, he or she causes the death of such person [or of a third person] </w:t>
      </w:r>
      <w:r>
        <w:rPr>
          <w:rFonts w:ascii="Arial" w:hAnsi="Arial" w:eastAsia="Arial"/>
          <w:strike w:val="false"/>
          <w:color w:val="000000"/>
          <w:spacing w:val="0"/>
          <w:w w:val="100"/>
          <w:sz w:val="17"/>
          <w:vertAlign w:val="superscript"/>
          <w:lang w:val="en-US"/>
        </w:rPr>
        <w:t xml:space="preserve">1</w:t>
      </w:r>
      <w:r>
        <w:rPr>
          <w:rFonts w:ascii="Arial" w:hAnsi="Arial" w:eastAsia="Arial"/>
          <w:strike w:val="false"/>
          <w:color w:val="000000"/>
          <w:spacing w:val="0"/>
          <w:w w:val="100"/>
          <w:sz w:val="28"/>
          <w:vertAlign w:val="baseline"/>
          <w:lang w:val="en-US"/>
        </w:rPr>
        <w:t xml:space="preserve">and the victim was killed in furtherance of an act of terrorism, and the defendant was more than eighteen (18) years old at the time of the commission of the crime.</w:t>
      </w:r>
    </w:p>
    <w:p>
      <w:pPr>
        <w:pageBreakBefore w:val="false"/>
        <w:spacing w:before="33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a conscious objective or purpose. Thus, a person acts with intent to cause the death of another person when his or her conscious objective or purpose is to cause the death of that person.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40"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ACT OF TERRORISM means activities that involve a violent act or acts dangerous to human life that are in violation of the criminal laws of this state and are intended to:</w:t>
      </w:r>
    </w:p>
    <w:p>
      <w:pPr>
        <w:pageBreakBefore w:val="false"/>
        <w:tabs>
          <w:tab w:val="left" w:leader="none" w:pos="1440"/>
        </w:tabs>
        <w:spacing w:before="329"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	</w:t>
      </w:r>
      <w:r>
        <w:rPr>
          <w:rFonts w:ascii="Arial" w:hAnsi="Arial" w:eastAsia="Arial"/>
          <w:strike w:val="false"/>
          <w:color w:val="000000"/>
          <w:spacing w:val="0"/>
          <w:w w:val="100"/>
          <w:sz w:val="28"/>
          <w:vertAlign w:val="baseline"/>
          <w:lang w:val="en-US"/>
        </w:rPr>
        <w:t xml:space="preserve">intimidate or coerce a civilian population;</w:t>
      </w:r>
    </w:p>
    <w:p>
      <w:pPr>
        <w:pageBreakBefore w:val="false"/>
        <w:numPr>
          <w:ilvl w:val="0"/>
          <w:numId w:val="1"/>
        </w:numPr>
        <w:tabs>
          <w:tab w:val="clear" w:pos="720"/>
          <w:tab w:val="left" w:pos="1440"/>
        </w:tabs>
        <w:spacing w:before="332" w:after="0"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influence the policy of a unit of government by intimidation or coercion; or</w:t>
      </w:r>
    </w:p>
    <w:p>
      <w:pPr>
        <w:pageBreakBefore w:val="false"/>
        <w:numPr>
          <w:ilvl w:val="0"/>
          <w:numId w:val="2"/>
        </w:numPr>
        <w:tabs>
          <w:tab w:val="clear" w:pos="720"/>
          <w:tab w:val="left" w:pos="1440"/>
        </w:tabs>
        <w:spacing w:before="329" w:after="930" w:line="319"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affect the conduct of a unit of government by murder,</w:t>
      </w:r>
    </w:p>
    <w:p>
      <w:pPr>
        <w:pageBreakBefore w:val="false"/>
        <w:spacing w:before="253" w:after="0" w:line="279" w:lineRule="exact"/>
        <w:ind w:right="0" w:left="0" w:firstLine="720"/>
        <w:jc w:val="both"/>
        <w:textAlignment w:val="baseline"/>
        <w:rPr>
          <w:rFonts w:ascii="Arial" w:hAnsi="Arial" w:eastAsia="Arial"/>
          <w:strike w:val="false"/>
          <w:color w:val="000000"/>
          <w:spacing w:val="0"/>
          <w:w w:val="100"/>
          <w:sz w:val="15"/>
          <w:vertAlign w:val="superscript"/>
          <w:lang w:val="en-US"/>
        </w:rPr>
      </w:pPr>
      <w:r>
        <w:pict>
          <v:line strokeweight="1.2pt" strokecolor="#000000" from="108pt,639.6pt" to="252.05pt,639.6pt" style="position:absolute;mso-position-horizontal-relative:page;mso-position-vertical-relative:page;">
            <v:stroke dashstyle="solid"/>
          </v:line>
        </w:pict>
      </w:r>
      <w:r>
        <w:rPr>
          <w:rFonts w:ascii="Arial" w:hAnsi="Arial" w:eastAsia="Arial"/>
          <w:strike w:val="false"/>
          <w:color w:val="000000"/>
          <w:spacing w:val="0"/>
          <w:w w:val="100"/>
          <w:sz w:val="15"/>
          <w:vertAlign w:val="superscript"/>
          <w:lang w:val="en-US"/>
        </w:rPr>
        <w:t xml:space="preserve">1</w:t>
      </w:r>
      <w:r>
        <w:rPr>
          <w:rFonts w:ascii="Arial" w:hAnsi="Arial" w:eastAsia="Arial"/>
          <w:strike w:val="false"/>
          <w:color w:val="000000"/>
          <w:spacing w:val="0"/>
          <w:w w:val="100"/>
          <w:sz w:val="24"/>
          <w:vertAlign w:val="baseline"/>
          <w:lang w:val="en-US"/>
        </w:rPr>
        <w:t xml:space="preserve"> If transferred intent applies and is in issue, see the definitions of transferred intent in the Additional Charges at the end of Article 125.</w:t>
      </w:r>
    </w:p>
    <w:p>
      <w:pPr>
        <w:pageBreakBefore w:val="false"/>
        <w:spacing w:before="253" w:after="0" w:line="279" w:lineRule="exact"/>
        <w:ind w:right="0" w:left="0" w:firstLine="288"/>
        <w:jc w:val="both"/>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2 </w:t>
      </w:r>
      <w:r>
        <w:rPr>
          <w:rFonts w:ascii="Arial" w:hAnsi="Arial" w:eastAsia="Arial"/>
          <w:strike w:val="false"/>
          <w:color w:val="000000"/>
          <w:spacing w:val="0"/>
          <w:w w:val="100"/>
          <w:sz w:val="21"/>
          <w:vertAlign w:val="baseline"/>
          <w:lang w:val="en-US"/>
        </w:rPr>
        <w:t xml:space="preserve">See Penal Law § 15.05(1). </w:t>
      </w:r>
      <w:r>
        <w:rPr>
          <w:rFonts w:ascii="Arial" w:hAnsi="Arial" w:eastAsia="Arial"/>
          <w:strike w:val="false"/>
          <w:color w:val="000000"/>
          <w:spacing w:val="0"/>
          <w:w w:val="100"/>
          <w:sz w:val="24"/>
          <w:vertAlign w:val="baseline"/>
          <w:lang w:val="en-US"/>
        </w:rPr>
        <w:t xml:space="preserve">For an expanded charge on intent, see General Charges, Culpable Mental States, Intent.</w:t>
      </w:r>
    </w:p>
    <w:p>
      <w:pPr>
        <w:sectPr>
          <w:type w:val="nextPage"/>
          <w:pgSz w:w="12240" w:h="15840" w:orient="portrait"/>
          <w:pgMar w:bottom="1024" w:top="1440" w:right="2140" w:left="2160" w:header="720" w:footer="720"/>
          <w:titlePg w:val="false"/>
          <w:textDirection w:val="lrTb"/>
        </w:sectPr>
      </w:pPr>
    </w:p>
    <w:p>
      <w:pPr>
        <w:pageBreakBefore w:val="false"/>
        <w:spacing w:before="48" w:after="0" w:line="318" w:lineRule="exact"/>
        <w:ind w:right="0" w:left="72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assassination or kidnapping. </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17"/>
          <w:vertAlign w:val="baseline"/>
          <w:lang w:val="en-US"/>
        </w:rPr>
        <w:t xml:space="preserve">
</w:t>
      </w:r>
    </w:p>
    <w:p>
      <w:pPr>
        <w:pageBreakBefore w:val="false"/>
        <w:spacing w:before="304" w:after="0" w:line="322"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People contend that the criminal laws of this state that were violated is/are: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i w:val="true"/>
          <w:strike w:val="false"/>
          <w:color w:val="000000"/>
          <w:spacing w:val="0"/>
          <w:w w:val="100"/>
          <w:sz w:val="28"/>
          <w:vertAlign w:val="baseline"/>
          <w:lang w:val="en-US"/>
        </w:rPr>
        <w:t xml:space="preserve">
</w:t>
      </w:r>
    </w:p>
    <w:p>
      <w:pPr>
        <w:pageBreakBefore w:val="false"/>
        <w:spacing w:before="328" w:after="0" w:line="318" w:lineRule="exact"/>
        <w:ind w:right="0" w:left="720" w:firstLine="0"/>
        <w:jc w:val="both"/>
        <w:textAlignment w:val="baseline"/>
        <w:rPr>
          <w:rFonts w:ascii="Arial" w:hAnsi="Arial" w:eastAsia="Arial"/>
          <w:i w:val="true"/>
          <w:strike w:val="false"/>
          <w:color w:val="000000"/>
          <w:spacing w:val="1"/>
          <w:w w:val="100"/>
          <w:sz w:val="28"/>
          <w:vertAlign w:val="baseline"/>
          <w:lang w:val="en-US"/>
        </w:rPr>
      </w:pPr>
      <w:r>
        <w:rPr>
          <w:rFonts w:ascii="Arial" w:hAnsi="Arial" w:eastAsia="Arial"/>
          <w:i w:val="true"/>
          <w:strike w:val="false"/>
          <w:color w:val="000000"/>
          <w:spacing w:val="1"/>
          <w:w w:val="100"/>
          <w:sz w:val="28"/>
          <w:vertAlign w:val="baseline"/>
          <w:lang w:val="en-US"/>
        </w:rPr>
        <w:t xml:space="preserve">[Here define the applicable crime(s).]</w:t>
      </w:r>
    </w:p>
    <w:p>
      <w:pPr>
        <w:pageBreakBefore w:val="false"/>
        <w:spacing w:before="295"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3"/>
        </w:numPr>
        <w:tabs>
          <w:tab w:val="clear" w:pos="360"/>
          <w:tab w:val="left" w:pos="1080"/>
        </w:tabs>
        <w:spacing w:before="329" w:after="0" w:line="326" w:lineRule="exact"/>
        <w:ind w:right="0" w:left="720" w:firstLine="0"/>
        <w:jc w:val="both"/>
        <w:textAlignment w:val="baseline"/>
        <w:rPr>
          <w:rFonts w:ascii="Arial" w:hAnsi="Arial" w:eastAsia="Arial"/>
          <w:strike w:val="false"/>
          <w:color w:val="000000"/>
          <w:spacing w:val="-8"/>
          <w:w w:val="100"/>
          <w:sz w:val="28"/>
          <w:vertAlign w:val="baseline"/>
          <w:lang w:val="en-US"/>
        </w:rPr>
      </w:pPr>
      <w:r>
        <w:rPr>
          <w:rFonts w:ascii="Arial" w:hAnsi="Arial" w:eastAsia="Arial"/>
          <w:strike w:val="false"/>
          <w:color w:val="000000"/>
          <w:spacing w:val="-8"/>
          <w:w w:val="100"/>
          <w:sz w:val="28"/>
          <w:vertAlign w:val="baseline"/>
          <w:lang w:val="en-US"/>
        </w:rPr>
        <w:t xml:space="preserve">That on or about </w:t>
      </w:r>
      <w:r>
        <w:rPr>
          <w:rFonts w:ascii="Arial" w:hAnsi="Arial" w:eastAsia="Arial"/>
          <w:strike w:val="false"/>
          <w:color w:val="000000"/>
          <w:spacing w:val="-8"/>
          <w:w w:val="100"/>
          <w:sz w:val="30"/>
          <w:u w:val="single"/>
          <w:vertAlign w:val="baseline"/>
          <w:lang w:val="en-US"/>
        </w:rPr>
        <w:t xml:space="preserve">(</w:t>
      </w:r>
      <w:r>
        <w:rPr>
          <w:rFonts w:ascii="Arial" w:hAnsi="Arial" w:eastAsia="Arial"/>
          <w:i w:val="true"/>
          <w:strike w:val="false"/>
          <w:color w:val="000000"/>
          <w:spacing w:val="-8"/>
          <w:w w:val="100"/>
          <w:sz w:val="28"/>
          <w:u w:val="single"/>
          <w:vertAlign w:val="baseline"/>
          <w:lang w:val="en-US"/>
        </w:rPr>
        <w:t xml:space="preserve">date</w:t>
      </w:r>
      <w:r>
        <w:rPr>
          <w:rFonts w:ascii="Arial" w:hAnsi="Arial" w:eastAsia="Arial"/>
          <w:strike w:val="false"/>
          <w:color w:val="000000"/>
          <w:spacing w:val="-8"/>
          <w:w w:val="100"/>
          <w:sz w:val="30"/>
          <w:u w:val="single"/>
          <w:vertAlign w:val="baseline"/>
          <w:lang w:val="en-US"/>
        </w:rPr>
        <w:t xml:space="preserve">),</w:t>
      </w:r>
      <w:r>
        <w:rPr>
          <w:rFonts w:ascii="Arial" w:hAnsi="Arial" w:eastAsia="Arial"/>
          <w:strike w:val="false"/>
          <w:color w:val="000000"/>
          <w:spacing w:val="-8"/>
          <w:w w:val="100"/>
          <w:sz w:val="28"/>
          <w:vertAlign w:val="baseline"/>
          <w:lang w:val="en-US"/>
        </w:rPr>
        <w:t xml:space="preserve"> in the county of </w:t>
      </w:r>
      <w:r>
        <w:rPr>
          <w:rFonts w:ascii="Arial" w:hAnsi="Arial" w:eastAsia="Arial"/>
          <w:strike w:val="false"/>
          <w:color w:val="000000"/>
          <w:spacing w:val="-8"/>
          <w:w w:val="100"/>
          <w:sz w:val="30"/>
          <w:u w:val="single"/>
          <w:vertAlign w:val="baseline"/>
          <w:lang w:val="en-US"/>
        </w:rPr>
        <w:t xml:space="preserve">(</w:t>
      </w:r>
      <w:r>
        <w:rPr>
          <w:rFonts w:ascii="Arial" w:hAnsi="Arial" w:eastAsia="Arial"/>
          <w:i w:val="true"/>
          <w:strike w:val="false"/>
          <w:color w:val="000000"/>
          <w:spacing w:val="-8"/>
          <w:w w:val="100"/>
          <w:sz w:val="28"/>
          <w:u w:val="single"/>
          <w:vertAlign w:val="baseline"/>
          <w:lang w:val="en-US"/>
        </w:rPr>
        <w:t xml:space="preserve">county</w:t>
      </w:r>
      <w:r>
        <w:rPr>
          <w:rFonts w:ascii="Arial" w:hAnsi="Arial" w:eastAsia="Arial"/>
          <w:strike w:val="false"/>
          <w:color w:val="000000"/>
          <w:spacing w:val="-8"/>
          <w:w w:val="100"/>
          <w:sz w:val="30"/>
          <w:u w:val="single"/>
          <w:vertAlign w:val="baseline"/>
          <w:lang w:val="en-US"/>
        </w:rPr>
        <w:t xml:space="preserve">),</w:t>
      </w:r>
      <w:r>
        <w:rPr>
          <w:rFonts w:ascii="Arial" w:hAnsi="Arial" w:eastAsia="Arial"/>
          <w:strike w:val="false"/>
          <w:color w:val="000000"/>
          <w:spacing w:val="-8"/>
          <w:w w:val="100"/>
          <w:sz w:val="28"/>
          <w:vertAlign w:val="baseline"/>
          <w:lang w:val="en-US"/>
        </w:rPr>
        <w:t xml:space="preserve"> the defendant </w:t>
      </w:r>
      <w:r>
        <w:rPr>
          <w:rFonts w:ascii="Arial" w:hAnsi="Arial" w:eastAsia="Arial"/>
          <w:strike w:val="false"/>
          <w:color w:val="000000"/>
          <w:spacing w:val="-8"/>
          <w:w w:val="100"/>
          <w:sz w:val="30"/>
          <w:u w:val="single"/>
          <w:vertAlign w:val="baseline"/>
          <w:lang w:val="en-US"/>
        </w:rPr>
        <w:t xml:space="preserve">(</w:t>
      </w:r>
      <w:r>
        <w:rPr>
          <w:rFonts w:ascii="Arial" w:hAnsi="Arial" w:eastAsia="Arial"/>
          <w:i w:val="true"/>
          <w:strike w:val="false"/>
          <w:color w:val="000000"/>
          <w:spacing w:val="-8"/>
          <w:w w:val="100"/>
          <w:sz w:val="28"/>
          <w:u w:val="single"/>
          <w:vertAlign w:val="baseline"/>
          <w:lang w:val="en-US"/>
        </w:rPr>
        <w:t xml:space="preserve">defendant's name</w:t>
      </w:r>
      <w:r>
        <w:rPr>
          <w:rFonts w:ascii="Arial" w:hAnsi="Arial" w:eastAsia="Arial"/>
          <w:strike w:val="false"/>
          <w:color w:val="000000"/>
          <w:spacing w:val="-8"/>
          <w:w w:val="100"/>
          <w:sz w:val="30"/>
          <w:u w:val="single"/>
          <w:vertAlign w:val="baseline"/>
          <w:lang w:val="en-US"/>
        </w:rPr>
        <w:t xml:space="preserve">),</w:t>
      </w:r>
      <w:r>
        <w:rPr>
          <w:rFonts w:ascii="Arial" w:hAnsi="Arial" w:eastAsia="Arial"/>
          <w:strike w:val="false"/>
          <w:color w:val="000000"/>
          <w:spacing w:val="-8"/>
          <w:w w:val="100"/>
          <w:sz w:val="28"/>
          <w:vertAlign w:val="baseline"/>
          <w:lang w:val="en-US"/>
        </w:rPr>
        <w:t xml:space="preserve"> caused the death of </w:t>
      </w:r>
      <w:r>
        <w:rPr>
          <w:rFonts w:ascii="Arial" w:hAnsi="Arial" w:eastAsia="Arial"/>
          <w:strike w:val="false"/>
          <w:color w:val="000000"/>
          <w:spacing w:val="-8"/>
          <w:w w:val="100"/>
          <w:sz w:val="30"/>
          <w:u w:val="single"/>
          <w:vertAlign w:val="baseline"/>
          <w:lang w:val="en-US"/>
        </w:rPr>
        <w:t xml:space="preserve">(</w:t>
      </w:r>
      <w:r>
        <w:rPr>
          <w:rFonts w:ascii="Arial" w:hAnsi="Arial" w:eastAsia="Arial"/>
          <w:i w:val="true"/>
          <w:strike w:val="false"/>
          <w:color w:val="000000"/>
          <w:spacing w:val="-8"/>
          <w:w w:val="100"/>
          <w:sz w:val="28"/>
          <w:u w:val="single"/>
          <w:vertAlign w:val="baseline"/>
          <w:lang w:val="en-US"/>
        </w:rPr>
        <w:t xml:space="preserve">specify</w:t>
      </w:r>
      <w:r>
        <w:rPr>
          <w:rFonts w:ascii="Arial" w:hAnsi="Arial" w:eastAsia="Arial"/>
          <w:strike w:val="false"/>
          <w:color w:val="000000"/>
          <w:spacing w:val="-8"/>
          <w:w w:val="100"/>
          <w:sz w:val="30"/>
          <w:u w:val="single"/>
          <w:vertAlign w:val="baseline"/>
          <w:lang w:val="en-US"/>
        </w:rPr>
        <w:t xml:space="preserve">);</w:t>
      </w:r>
      <w:r>
        <w:rPr>
          <w:rFonts w:ascii="Arial" w:hAnsi="Arial" w:eastAsia="Arial"/>
          <w:strike w:val="false"/>
          <w:color w:val="000000"/>
          <w:spacing w:val="-8"/>
          <w:w w:val="100"/>
          <w:sz w:val="28"/>
          <w:vertAlign w:val="baseline"/>
          <w:lang w:val="en-US"/>
        </w:rPr>
        <w:t xml:space="preserve">
</w:t>
      </w:r>
    </w:p>
    <w:p>
      <w:pPr>
        <w:pageBreakBefore w:val="false"/>
        <w:numPr>
          <w:ilvl w:val="0"/>
          <w:numId w:val="3"/>
        </w:numPr>
        <w:tabs>
          <w:tab w:val="clear" w:pos="360"/>
          <w:tab w:val="left" w:pos="1080"/>
        </w:tabs>
        <w:spacing w:before="311"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cause the death of that person [or a third person];</w:t>
      </w:r>
    </w:p>
    <w:p>
      <w:pPr>
        <w:pageBreakBefore w:val="false"/>
        <w:numPr>
          <w:ilvl w:val="0"/>
          <w:numId w:val="3"/>
        </w:numPr>
        <w:tabs>
          <w:tab w:val="clear" w:pos="360"/>
          <w:tab w:val="left" w:pos="1080"/>
        </w:tabs>
        <w:spacing w:before="322"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victim was killed in the furtherance of an act of terrorism; and</w:t>
      </w:r>
    </w:p>
    <w:p>
      <w:pPr>
        <w:pageBreakBefore w:val="false"/>
        <w:numPr>
          <w:ilvl w:val="0"/>
          <w:numId w:val="3"/>
        </w:numPr>
        <w:tabs>
          <w:tab w:val="clear" w:pos="360"/>
          <w:tab w:val="left" w:pos="1080"/>
        </w:tabs>
        <w:spacing w:before="318"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more than eighteen (18) years old at the time of the commission of the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213"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9" w:after="232" w:line="275" w:lineRule="exact"/>
        <w:ind w:right="0" w:left="720" w:firstLine="0"/>
        <w:jc w:val="left"/>
        <w:textAlignment w:val="baseline"/>
        <w:rPr>
          <w:rFonts w:ascii="Arial" w:hAnsi="Arial" w:eastAsia="Arial"/>
          <w:strike w:val="false"/>
          <w:color w:val="000000"/>
          <w:spacing w:val="0"/>
          <w:w w:val="100"/>
          <w:sz w:val="15"/>
          <w:vertAlign w:val="superscript"/>
          <w:lang w:val="en-US"/>
        </w:rPr>
      </w:pPr>
      <w:r>
        <w:pict>
          <v:line strokeweight="1.2pt" strokecolor="#000000" from="108pt,667.2pt" to="252.05pt,667.2pt" style="position:absolute;mso-position-horizontal-relative:page;mso-position-vertical-relative:page;">
            <v:stroke dashstyle="solid"/>
          </v:line>
        </w:pict>
      </w:r>
      <w:r>
        <w:rPr>
          <w:rFonts w:ascii="Arial" w:hAnsi="Arial" w:eastAsia="Arial"/>
          <w:strike w:val="false"/>
          <w:color w:val="000000"/>
          <w:spacing w:val="0"/>
          <w:w w:val="100"/>
          <w:sz w:val="15"/>
          <w:vertAlign w:val="superscript"/>
          <w:lang w:val="en-US"/>
        </w:rPr>
        <w:t xml:space="preserve">3</w:t>
      </w:r>
      <w:r>
        <w:rPr>
          <w:rFonts w:ascii="Arial" w:hAnsi="Arial" w:eastAsia="Arial"/>
          <w:strike w:val="false"/>
          <w:color w:val="000000"/>
          <w:spacing w:val="0"/>
          <w:w w:val="100"/>
          <w:sz w:val="24"/>
          <w:vertAlign w:val="baseline"/>
          <w:lang w:val="en-US"/>
        </w:rPr>
        <w:t xml:space="preserve"> Penal Law § 490.05 (1)(b).</w:t>
      </w:r>
    </w:p>
    <w:p>
      <w:pPr>
        <w:pageBreakBefore w:val="false"/>
        <w:spacing w:before="2"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sectPr>
      <w:type w:val="nextPage"/>
      <w:pgSz w:w="12240" w:h="15840" w:orient="portrait"/>
      <w:pgMar w:bottom="1024" w:top="140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lowerRoman"/>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lowerRoman"/>
      <w:lvlText w:val="(%1)"/>
      <w:pPr>
        <w:tabs>
          <w:tab w:val="left" w:pos="720"/>
        </w:tabs>
      </w:pPr>
      <w:rPr>
        <w:rFonts w:ascii="Arial" w:hAnsi="Arial" w:eastAsia="Arial"/>
        <w:strike w:val="false"/>
        <w:color w:val="000000"/>
        <w:spacing w:val="-4"/>
        <w:w w:val="100"/>
        <w:sz w:val="28"/>
        <w:vertAlign w:val="baseline"/>
        <w:lang w:val="en-US"/>
      </w:rPr>
    </w:lvl>
  </w:abstractNum>
  <w:abstractNum w:abstractNumId="3">
    <w:lvl w:ilvl="0">
      <w:start w:val="1"/>
      <w:numFmt w:val="decimal"/>
      <w:lvlText w:val="%1."/>
      <w:pPr>
        <w:tabs>
          <w:tab w:val="left" w:pos="360"/>
        </w:tabs>
      </w:pPr>
      <w:rPr>
        <w:rFonts w:ascii="Arial" w:hAnsi="Arial" w:eastAsia="Arial"/>
        <w:strike w:val="false"/>
        <w:color w:val="000000"/>
        <w:spacing w:val="-8"/>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