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0" w:after="374" w:line="377" w:lineRule="exact"/>
        <w:ind w:right="0" w:left="0" w:firstLine="0"/>
        <w:jc w:val="center"/>
        <w:textAlignment w:val="baseline"/>
        <w:rPr>
          <w:rFonts w:ascii="Arial" w:hAnsi="Arial" w:eastAsia="Arial"/>
          <w:b w:val="true"/>
          <w:color w:val="000000"/>
          <w:spacing w:val="0"/>
          <w:w w:val="100"/>
          <w:sz w:val="26"/>
          <w:vertAlign w:val="baseline"/>
          <w:lang w:val="en-US"/>
        </w:rPr>
      </w:pPr>
      <w:r>
        <w:rPr>
          <w:rFonts w:ascii="Arial" w:hAnsi="Arial" w:eastAsia="Arial"/>
          <w:b w:val="true"/>
          <w:color w:val="000000"/>
          <w:spacing w:val="0"/>
          <w:w w:val="100"/>
          <w:sz w:val="26"/>
          <w:vertAlign w:val="baseline"/>
          <w:lang w:val="en-US"/>
        </w:rPr>
        <w:t xml:space="preserve">Depraved Indifference Murder and</w:t>
        <w:br/>
      </w:r>
      <w:r>
        <w:rPr>
          <w:rFonts w:ascii="Arial" w:hAnsi="Arial" w:eastAsia="Arial"/>
          <w:b w:val="true"/>
          <w:color w:val="000000"/>
          <w:spacing w:val="0"/>
          <w:w w:val="100"/>
          <w:sz w:val="26"/>
          <w:vertAlign w:val="baseline"/>
          <w:lang w:val="en-US"/>
        </w:rPr>
        <w:t xml:space="preserve">Reckless Manslaughter Explained </w:t>
      </w:r>
      <w:r>
        <w:rPr>
          <w:rFonts w:ascii="Arial" w:hAnsi="Arial" w:eastAsia="Arial"/>
          <w:color w:val="000000"/>
          <w:spacing w:val="0"/>
          <w:w w:val="100"/>
          <w:sz w:val="26"/>
          <w:vertAlign w:val="superscript"/>
          <w:lang w:val="en-US"/>
        </w:rPr>
        <w:t xml:space="preserve">1</w:t>
      </w:r>
      <w:r>
        <w:rPr>
          <w:rFonts w:ascii="Arial" w:hAnsi="Arial" w:eastAsia="Arial"/>
          <w:color w:val="000000"/>
          <w:spacing w:val="0"/>
          <w:w w:val="100"/>
          <w:sz w:val="16"/>
          <w:vertAlign w:val="baseline"/>
          <w:lang w:val="en-US"/>
        </w:rPr>
        <w:t xml:space="preserve"></w:t>
        <w:br/>
      </w:r>
      <w:r>
        <w:rPr>
          <w:rFonts w:ascii="Arial" w:hAnsi="Arial" w:eastAsia="Arial"/>
          <w:b w:val="true"/>
          <w:color w:val="000000"/>
          <w:spacing w:val="0"/>
          <w:w w:val="100"/>
          <w:sz w:val="26"/>
          <w:vertAlign w:val="baseline"/>
          <w:lang w:val="en-US"/>
        </w:rPr>
        <w:t xml:space="preserve">(Revised December 12, 2006)</w:t>
      </w:r>
    </w:p>
    <w:p>
      <w:pPr>
        <w:pageBreakBefore w:val="false"/>
        <w:spacing w:before="439" w:after="363" w:line="384" w:lineRule="exact"/>
        <w:ind w:right="720" w:left="1440" w:firstLine="0"/>
        <w:jc w:val="both"/>
        <w:textAlignment w:val="baseline"/>
        <w:rPr>
          <w:rFonts w:ascii="Arial" w:hAnsi="Arial" w:eastAsia="Arial"/>
          <w:i w:val="true"/>
          <w:color w:val="000000"/>
          <w:spacing w:val="0"/>
          <w:w w:val="100"/>
          <w:sz w:val="24"/>
          <w:vertAlign w:val="baseline"/>
          <w:lang w:val="en-US"/>
        </w:rPr>
      </w:pPr>
      <w:r>
        <w:pict>
          <v:line strokeweight="0.95pt" strokecolor="#000000" from="232.8pt,149.3pt" to="378.75pt,149.3pt" style="position:absolute;mso-position-horizontal-relative:page;mso-position-vertical-relative:page;">
            <v:stroke dashstyle="solid"/>
          </v:line>
        </w:pict>
      </w:r>
      <w:r>
        <w:rPr>
          <w:rFonts w:ascii="Arial" w:hAnsi="Arial" w:eastAsia="Arial"/>
          <w:i w:val="true"/>
          <w:color w:val="000000"/>
          <w:spacing w:val="0"/>
          <w:w w:val="100"/>
          <w:sz w:val="24"/>
          <w:vertAlign w:val="baseline"/>
          <w:lang w:val="en-US"/>
        </w:rPr>
        <w:t xml:space="preserve">The trial court may be well advised to give the following instruction immediately after defining the crimes of depraved indifference murder and reckless manslaughter.</w:t>
      </w:r>
    </w:p>
    <w:p>
      <w:pPr>
        <w:pageBreakBefore w:val="false"/>
        <w:spacing w:before="438" w:after="0" w:line="408" w:lineRule="exact"/>
        <w:ind w:right="0" w:left="0" w:firstLine="0"/>
        <w:jc w:val="both"/>
        <w:textAlignment w:val="baseline"/>
        <w:rPr>
          <w:rFonts w:ascii="Arial" w:hAnsi="Arial" w:eastAsia="Arial"/>
          <w:color w:val="000000"/>
          <w:spacing w:val="0"/>
          <w:w w:val="100"/>
          <w:sz w:val="26"/>
          <w:vertAlign w:val="baseline"/>
          <w:lang w:val="en-US"/>
        </w:rPr>
      </w:pPr>
      <w:r>
        <w:pict>
          <v:line strokeweight="0.95pt" strokecolor="#000000" from="228.95pt,266.9pt" to="382.6pt,266.9pt" style="position:absolute;mso-position-horizontal-relative:page;mso-position-vertical-relative:page;">
            <v:stroke dashstyle="solid"/>
          </v:line>
        </w:pict>
      </w:r>
      <w:r>
        <w:rPr>
          <w:rFonts w:ascii="Arial" w:hAnsi="Arial" w:eastAsia="Arial"/>
          <w:color w:val="000000"/>
          <w:spacing w:val="0"/>
          <w:w w:val="100"/>
          <w:sz w:val="26"/>
          <w:vertAlign w:val="baseline"/>
          <w:lang w:val="en-US"/>
        </w:rPr>
        <w:t xml:space="preserve">Now, I will explain the difference between Murder in the Second Degree and Manslaughter in the Second Degree.</w:t>
      </w:r>
    </w:p>
    <w:p>
      <w:pPr>
        <w:pageBreakBefore w:val="false"/>
        <w:spacing w:before="0" w:after="0" w:line="816" w:lineRule="exact"/>
        <w:ind w:right="0" w:left="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Both crimes require that the defendant cause the death of another. Both crimes require that the defendant do so recklessly.</w:t>
      </w:r>
    </w:p>
    <w:p>
      <w:pPr>
        <w:pageBreakBefore w:val="false"/>
        <w:spacing w:before="408" w:after="0" w:line="408" w:lineRule="exact"/>
        <w:ind w:right="0" w:left="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Murder, however, requires a greater degree of recklessness than Manslaughter, and Murder has an additional element of “depraved indifference to human life,” not required for manslaughter.</w:t>
      </w:r>
    </w:p>
    <w:p>
      <w:pPr>
        <w:pageBreakBefore w:val="false"/>
        <w:spacing w:before="520" w:after="0" w:line="296" w:lineRule="exact"/>
        <w:ind w:right="0" w:left="0" w:firstLine="0"/>
        <w:jc w:val="left"/>
        <w:textAlignment w:val="baseline"/>
        <w:rPr>
          <w:rFonts w:ascii="Arial" w:hAnsi="Arial" w:eastAsia="Arial"/>
          <w:color w:val="000000"/>
          <w:spacing w:val="5"/>
          <w:w w:val="100"/>
          <w:sz w:val="26"/>
          <w:vertAlign w:val="baseline"/>
          <w:lang w:val="en-US"/>
        </w:rPr>
      </w:pPr>
      <w:r>
        <w:rPr>
          <w:rFonts w:ascii="Arial" w:hAnsi="Arial" w:eastAsia="Arial"/>
          <w:color w:val="000000"/>
          <w:spacing w:val="5"/>
          <w:w w:val="100"/>
          <w:sz w:val="26"/>
          <w:vertAlign w:val="baseline"/>
          <w:lang w:val="en-US"/>
        </w:rPr>
        <w:t xml:space="preserve">I will briefly explain the different levels of recklessness:</w:t>
      </w:r>
    </w:p>
    <w:p>
      <w:pPr>
        <w:pageBreakBefore w:val="false"/>
        <w:spacing w:before="408" w:after="0" w:line="408" w:lineRule="exact"/>
        <w:ind w:right="0" w:left="72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Manslaughter requires that the defendant engage in conduct which creates or contributes to a </w:t>
      </w:r>
      <w:r>
        <w:rPr>
          <w:rFonts w:ascii="Arial" w:hAnsi="Arial" w:eastAsia="Arial"/>
          <w:i w:val="true"/>
          <w:color w:val="000000"/>
          <w:spacing w:val="0"/>
          <w:w w:val="100"/>
          <w:sz w:val="26"/>
          <w:vertAlign w:val="baseline"/>
          <w:lang w:val="en-US"/>
        </w:rPr>
        <w:t xml:space="preserve">substantial</w:t>
      </w:r>
      <w:r>
        <w:rPr>
          <w:rFonts w:ascii="Arial" w:hAnsi="Arial" w:eastAsia="Arial"/>
          <w:color w:val="000000"/>
          <w:spacing w:val="0"/>
          <w:w w:val="100"/>
          <w:sz w:val="26"/>
          <w:vertAlign w:val="baseline"/>
          <w:lang w:val="en-US"/>
        </w:rPr>
        <w:t xml:space="preserve">and unjustifiable risk that another person's death will occur.</w:t>
      </w:r>
    </w:p>
    <w:p>
      <w:pPr>
        <w:pageBreakBefore w:val="false"/>
        <w:spacing w:before="408" w:after="0" w:line="408" w:lineRule="exact"/>
        <w:ind w:right="0" w:left="72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Murder in the second degree requires that the defendant engage in conduct which creates a </w:t>
      </w:r>
      <w:r>
        <w:rPr>
          <w:rFonts w:ascii="Arial" w:hAnsi="Arial" w:eastAsia="Arial"/>
          <w:i w:val="true"/>
          <w:color w:val="000000"/>
          <w:spacing w:val="0"/>
          <w:w w:val="100"/>
          <w:sz w:val="26"/>
          <w:vertAlign w:val="baseline"/>
          <w:lang w:val="en-US"/>
        </w:rPr>
        <w:t xml:space="preserve">grave </w:t>
      </w:r>
      <w:r>
        <w:rPr>
          <w:rFonts w:ascii="Arial" w:hAnsi="Arial" w:eastAsia="Arial"/>
          <w:color w:val="000000"/>
          <w:spacing w:val="0"/>
          <w:w w:val="100"/>
          <w:sz w:val="26"/>
          <w:vertAlign w:val="baseline"/>
          <w:lang w:val="en-US"/>
        </w:rPr>
        <w:t xml:space="preserve">and unjustifiable risk that another person's death will occur.</w:t>
      </w:r>
    </w:p>
    <w:p>
      <w:pPr>
        <w:sectPr>
          <w:type w:val="nextPage"/>
          <w:pgSz w:w="12240" w:h="15840" w:orient="portrait"/>
          <w:pgMar w:bottom="1504" w:top="1460" w:right="2146" w:left="2174" w:header="720" w:footer="720"/>
          <w:titlePg w:val="false"/>
          <w:textDirection w:val="lrTb"/>
        </w:sectPr>
      </w:pPr>
    </w:p>
    <w:p>
      <w:pPr>
        <w:pageBreakBefore w:val="false"/>
        <w:spacing w:before="15" w:after="0" w:line="408" w:lineRule="exact"/>
        <w:ind w:right="0" w:left="720" w:firstLine="0"/>
        <w:jc w:val="both"/>
        <w:textAlignment w:val="baseline"/>
        <w:rPr>
          <w:rFonts w:ascii="Arial" w:hAnsi="Arial" w:eastAsia="Arial"/>
          <w:color w:val="000000"/>
          <w:spacing w:val="7"/>
          <w:w w:val="100"/>
          <w:sz w:val="26"/>
          <w:vertAlign w:val="baseline"/>
          <w:lang w:val="en-US"/>
        </w:rPr>
      </w:pPr>
      <w:r>
        <w:rPr>
          <w:rFonts w:ascii="Arial" w:hAnsi="Arial" w:eastAsia="Arial"/>
          <w:color w:val="000000"/>
          <w:spacing w:val="7"/>
          <w:w w:val="100"/>
          <w:sz w:val="26"/>
          <w:vertAlign w:val="baseline"/>
          <w:lang w:val="en-US"/>
        </w:rPr>
        <w:t xml:space="preserve">Thus, Manslaughter speaks of a </w:t>
      </w:r>
      <w:r>
        <w:rPr>
          <w:rFonts w:ascii="Arial" w:hAnsi="Arial" w:eastAsia="Arial"/>
          <w:i w:val="true"/>
          <w:color w:val="000000"/>
          <w:spacing w:val="7"/>
          <w:w w:val="100"/>
          <w:sz w:val="26"/>
          <w:vertAlign w:val="baseline"/>
          <w:lang w:val="en-US"/>
        </w:rPr>
        <w:t xml:space="preserve">substantial </w:t>
      </w:r>
      <w:r>
        <w:rPr>
          <w:rFonts w:ascii="Arial" w:hAnsi="Arial" w:eastAsia="Arial"/>
          <w:color w:val="000000"/>
          <w:spacing w:val="7"/>
          <w:w w:val="100"/>
          <w:sz w:val="26"/>
          <w:vertAlign w:val="baseline"/>
          <w:lang w:val="en-US"/>
        </w:rPr>
        <w:t xml:space="preserve">risk of death, and Murder speaks of a </w:t>
      </w:r>
      <w:r>
        <w:rPr>
          <w:rFonts w:ascii="Arial" w:hAnsi="Arial" w:eastAsia="Arial"/>
          <w:i w:val="true"/>
          <w:color w:val="000000"/>
          <w:spacing w:val="7"/>
          <w:w w:val="100"/>
          <w:sz w:val="26"/>
          <w:vertAlign w:val="baseline"/>
          <w:lang w:val="en-US"/>
        </w:rPr>
        <w:t xml:space="preserve">grave </w:t>
      </w:r>
      <w:r>
        <w:rPr>
          <w:rFonts w:ascii="Arial" w:hAnsi="Arial" w:eastAsia="Arial"/>
          <w:color w:val="000000"/>
          <w:spacing w:val="7"/>
          <w:w w:val="100"/>
          <w:sz w:val="26"/>
          <w:vertAlign w:val="baseline"/>
          <w:lang w:val="en-US"/>
        </w:rPr>
        <w:t xml:space="preserve">risk of death. Murder, therefore, requires a heightened degree of recklessness.</w:t>
      </w:r>
    </w:p>
    <w:p>
      <w:pPr>
        <w:pageBreakBefore w:val="false"/>
        <w:spacing w:before="408" w:after="0" w:line="408" w:lineRule="exact"/>
        <w:ind w:right="0" w:left="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Both definitions of </w:t>
      </w:r>
      <w:r>
        <w:rPr>
          <w:rFonts w:ascii="WP TypographicSymbols" w:hAnsi="WP TypographicSymbols" w:eastAsia="WP TypographicSymbols"/>
          <w:color w:val="000000"/>
          <w:spacing w:val="0"/>
          <w:w w:val="100"/>
          <w:sz w:val="27"/>
          <w:vertAlign w:val="baseline"/>
          <w:lang w:val="en-US"/>
        </w:rPr>
        <w:t xml:space="preserve">?</w:t>
      </w:r>
      <w:r>
        <w:rPr>
          <w:rFonts w:ascii="Arial" w:hAnsi="Arial" w:eastAsia="Arial"/>
          <w:color w:val="000000"/>
          <w:spacing w:val="0"/>
          <w:w w:val="100"/>
          <w:sz w:val="26"/>
          <w:vertAlign w:val="baseline"/>
          <w:lang w:val="en-US"/>
        </w:rPr>
        <w:t xml:space="preserve">reckless” go on to require that the defendant be aware of and consciously disregard the risk, and that the risk be of such nature and degree that disregard of it constitutes a gross deviation from the standard of conduct that a reasonable person would observe in the situation.</w:t>
      </w:r>
    </w:p>
    <w:p>
      <w:pPr>
        <w:pageBreakBefore w:val="false"/>
        <w:spacing w:before="408" w:after="7453" w:line="408" w:lineRule="exact"/>
        <w:ind w:right="0" w:left="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Finally, Murder, but not Manslaughter, requires that, in addition to acting recklessly, the defendant act with a depraved indifference to human life, as I have explained that concept to you.</w:t>
      </w:r>
    </w:p>
    <w:p>
      <w:pPr>
        <w:spacing w:before="408" w:after="7453" w:line="408" w:lineRule="exact"/>
        <w:sectPr>
          <w:type w:val="nextPage"/>
          <w:pgSz w:w="12240" w:h="15840" w:orient="portrait"/>
          <w:pgMar w:bottom="1024" w:top="1340" w:right="2145" w:left="2155" w:header="720" w:footer="720"/>
          <w:titlePg w:val="false"/>
          <w:textDirection w:val="lrTb"/>
        </w:sectPr>
      </w:pPr>
    </w:p>
    <w:p>
      <w:pPr>
        <w:pageBreakBefore w:val="false"/>
        <w:spacing w:before="2" w:after="0" w:line="274"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w:t>
      </w:r>
    </w:p>
    <w:p>
      <w:pPr>
        <w:sectPr>
          <w:type w:val="continuous"/>
          <w:pgSz w:w="12240" w:h="15840" w:orient="portrait"/>
          <w:pgMar w:bottom="1024" w:top="1340" w:right="2164" w:left="2156" w:header="720" w:footer="720"/>
          <w:titlePg w:val="false"/>
          <w:textDirection w:val="lrTb"/>
        </w:sectPr>
      </w:pPr>
    </w:p>
    <w:p>
      <w:pPr>
        <w:pageBreakBefore w:val="false"/>
        <w:spacing w:before="0" w:after="10969" w:line="340" w:lineRule="exact"/>
        <w:ind w:right="0" w:left="0" w:firstLine="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 This charge has been twice revised to reflect Court of Appeals determinations on the meaning depraved indifference murder. The first revision on April 5, 2006 accounted for the Court’s decision in </w:t>
      </w:r>
      <w:r>
        <w:rPr>
          <w:rFonts w:ascii="Arial" w:hAnsi="Arial" w:eastAsia="Arial"/>
          <w:i w:val="true"/>
          <w:color w:val="000000"/>
          <w:spacing w:val="0"/>
          <w:w w:val="100"/>
          <w:sz w:val="24"/>
          <w:vertAlign w:val="baseline"/>
          <w:lang w:val="en-US"/>
        </w:rPr>
        <w:t xml:space="preserve">People v. Suarez</w:t>
      </w:r>
      <w:r>
        <w:rPr>
          <w:rFonts w:ascii="Arial" w:hAnsi="Arial" w:eastAsia="Arial"/>
          <w:color w:val="000000"/>
          <w:spacing w:val="0"/>
          <w:w w:val="100"/>
          <w:sz w:val="24"/>
          <w:vertAlign w:val="baseline"/>
          <w:lang w:val="en-US"/>
        </w:rPr>
        <w:t xml:space="preserve">, 6 NY3d 202 (2006). The current revision accounts for the Court’s decision in </w:t>
      </w:r>
      <w:r>
        <w:rPr>
          <w:rFonts w:ascii="Arial" w:hAnsi="Arial" w:eastAsia="Arial"/>
          <w:i w:val="true"/>
          <w:color w:val="000000"/>
          <w:spacing w:val="0"/>
          <w:w w:val="100"/>
          <w:sz w:val="24"/>
          <w:vertAlign w:val="baseline"/>
          <w:lang w:val="en-US"/>
        </w:rPr>
        <w:t xml:space="preserve">People v Feingold</w:t>
      </w:r>
      <w:r>
        <w:rPr>
          <w:rFonts w:ascii="Arial" w:hAnsi="Arial" w:eastAsia="Arial"/>
          <w:color w:val="000000"/>
          <w:spacing w:val="0"/>
          <w:w w:val="100"/>
          <w:sz w:val="24"/>
          <w:vertAlign w:val="baseline"/>
          <w:lang w:val="en-US"/>
        </w:rPr>
        <w:t xml:space="preserve">, 7 NY3d 288 (2006).</w:t>
      </w:r>
    </w:p>
    <w:p>
      <w:pPr>
        <w:spacing w:before="0" w:after="10969" w:line="340" w:lineRule="exact"/>
        <w:sectPr>
          <w:type w:val="nextPage"/>
          <w:pgSz w:w="12240" w:h="15840" w:orient="portrait"/>
          <w:pgMar w:bottom="1044" w:top="1440" w:right="2155" w:left="2158" w:header="720" w:footer="720"/>
          <w:titlePg w:val="false"/>
          <w:textDirection w:val="lrTb"/>
        </w:sectPr>
      </w:pPr>
    </w:p>
    <w:p>
      <w:pPr>
        <w:pageBreakBefore w:val="false"/>
        <w:spacing w:before="2" w:after="0" w:line="271"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3</w:t>
      </w:r>
    </w:p>
    <w:sectPr>
      <w:type w:val="continuous"/>
      <w:pgSz w:w="12240" w:h="15840" w:orient="portrait"/>
      <w:pgMar w:bottom="1044" w:top="1440" w:right="2162" w:left="215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WP TypographicSymbols">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