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THIRD DEGREE</w:t>
        <w:br/>
      </w:r>
      <w:r>
        <w:rPr>
          <w:rFonts w:ascii="Arial" w:hAnsi="Arial" w:eastAsia="Arial"/>
          <w:b w:val="true"/>
          <w:color w:val="000000"/>
          <w:spacing w:val="0"/>
          <w:w w:val="100"/>
          <w:sz w:val="28"/>
          <w:vertAlign w:val="baseline"/>
          <w:lang w:val="en-US"/>
        </w:rPr>
        <w:t xml:space="preserve">(Fenced or Enclosed Building or Property)</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140.10(a)</w:t>
        <w:br/>
      </w:r>
      <w:r>
        <w:rPr>
          <w:rFonts w:ascii="Arial" w:hAnsi="Arial" w:eastAsia="Arial"/>
          <w:b w:val="true"/>
          <w:color w:val="000000"/>
          <w:spacing w:val="0"/>
          <w:w w:val="100"/>
          <w:sz w:val="28"/>
          <w:vertAlign w:val="baseline"/>
          <w:lang w:val="en-US"/>
        </w:rPr>
        <w:t xml:space="preserve">(Committed on or after Nov. 1,1987)</w:t>
      </w:r>
    </w:p>
    <w:p>
      <w:pPr>
        <w:pageBreakBefore w:val="false"/>
        <w:spacing w:before="0" w:after="0" w:line="326" w:lineRule="exact"/>
        <w:ind w:right="0" w:left="0" w:firstLine="0"/>
        <w:jc w:val="center"/>
        <w:textAlignment w:val="baseline"/>
        <w:rPr>
          <w:rFonts w:ascii="Arial" w:hAnsi="Arial" w:eastAsia="Arial"/>
          <w:b w:val="true"/>
          <w:color w:val="000000"/>
          <w:spacing w:val="-4"/>
          <w:w w:val="100"/>
          <w:sz w:val="28"/>
          <w:vertAlign w:val="baseline"/>
          <w:lang w:val="en-US"/>
        </w:rPr>
      </w:pPr>
      <w:r>
        <w:rPr>
          <w:rFonts w:ascii="Arial" w:hAnsi="Arial" w:eastAsia="Arial"/>
          <w:b w:val="true"/>
          <w:color w:val="000000"/>
          <w:spacing w:val="-4"/>
          <w:w w:val="100"/>
          <w:sz w:val="28"/>
          <w:vertAlign w:val="baseline"/>
          <w:lang w:val="en-US"/>
        </w:rPr>
        <w:t xml:space="preserve">(Revised January 2013</w:t>
      </w:r>
      <w:r>
        <w:rPr>
          <w:rFonts w:ascii="Arial" w:hAnsi="Arial" w:eastAsia="Arial"/>
          <w:color w:val="000000"/>
          <w:spacing w:val="-4"/>
          <w:w w:val="100"/>
          <w:sz w:val="28"/>
          <w:vertAlign w:val="baseline"/>
          <w:lang w:val="en-US"/>
        </w:rPr>
        <w:t xml:space="preserve">)</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6"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Third Degree.</w:t>
      </w:r>
    </w:p>
    <w:p>
      <w:pPr>
        <w:pageBreakBefore w:val="false"/>
        <w:spacing w:before="314" w:after="0" w:line="326"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Criminal Trespass in the Third Degree when that person knowingly enters [remains]</w:t>
      </w:r>
      <w:r>
        <w:rPr>
          <w:rFonts w:ascii="Arial" w:hAnsi="Arial" w:eastAsia="Arial"/>
          <w:color w:val="000000"/>
          <w:spacing w:val="-1"/>
          <w:w w:val="100"/>
          <w:sz w:val="28"/>
          <w:vertAlign w:val="superscript"/>
          <w:lang w:val="en-US"/>
        </w:rPr>
        <w:t xml:space="preserve">2</w:t>
      </w:r>
      <w:r>
        <w:rPr>
          <w:rFonts w:ascii="Arial" w:hAnsi="Arial" w:eastAsia="Arial"/>
          <w:color w:val="000000"/>
          <w:spacing w:val="-1"/>
          <w:w w:val="100"/>
          <w:sz w:val="17"/>
          <w:vertAlign w:val="baseline"/>
          <w:lang w:val="en-US"/>
        </w:rPr>
        <w:t xml:space="preserve"> </w:t>
      </w:r>
      <w:r>
        <w:rPr>
          <w:rFonts w:ascii="Arial" w:hAnsi="Arial" w:eastAsia="Arial"/>
          <w:color w:val="000000"/>
          <w:spacing w:val="-1"/>
          <w:w w:val="100"/>
          <w:sz w:val="28"/>
          <w:vertAlign w:val="baseline"/>
          <w:lang w:val="en-US"/>
        </w:rPr>
        <w:t xml:space="preserve">unlawfully in a building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upon real property] which is fenced or otherwise enclosed in a manner designed to exclude intruders.</w:t>
      </w:r>
    </w:p>
    <w:p>
      <w:pPr>
        <w:pageBreakBefore w:val="false"/>
        <w:spacing w:before="31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27"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5" w:after="0" w:line="326"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w:t>
      </w:r>
    </w:p>
    <w:p>
      <w:pPr>
        <w:pageBreakBefore w:val="false"/>
        <w:spacing w:before="0" w:after="935" w:line="322"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secured or occupied, each unit shall be deemed both a separate</w:t>
      </w:r>
    </w:p>
    <w:p>
      <w:pPr>
        <w:pageBreakBefore w:val="false"/>
        <w:spacing w:before="258" w:after="0" w:line="277" w:lineRule="exact"/>
        <w:ind w:right="36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559.2pt" to="252.05pt,559.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41" w:after="0" w:line="277" w:lineRule="exact"/>
        <w:ind w:right="0" w:left="0" w:firstLine="0"/>
        <w:jc w:val="both"/>
        <w:textAlignment w:val="baseline"/>
        <w:rPr>
          <w:rFonts w:ascii="Arial" w:hAnsi="Arial" w:eastAsia="Arial"/>
          <w:color w:val="000000"/>
          <w:spacing w:val="-4"/>
          <w:w w:val="100"/>
          <w:sz w:val="14"/>
          <w:vertAlign w:val="superscript"/>
          <w:lang w:val="en-US"/>
        </w:rPr>
      </w:pPr>
      <w:r>
        <w:rPr>
          <w:rFonts w:ascii="Arial" w:hAnsi="Arial" w:eastAsia="Arial"/>
          <w:color w:val="000000"/>
          <w:spacing w:val="-4"/>
          <w:w w:val="100"/>
          <w:sz w:val="14"/>
          <w:vertAlign w:val="superscript"/>
          <w:lang w:val="en-US"/>
        </w:rPr>
        <w:t xml:space="preserve">2</w:t>
      </w:r>
      <w:r>
        <w:rPr>
          <w:rFonts w:ascii="Arial" w:hAnsi="Arial" w:eastAsia="Arial"/>
          <w:color w:val="000000"/>
          <w:spacing w:val="-4"/>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4"/>
          <w:w w:val="100"/>
          <w:sz w:val="24"/>
          <w:vertAlign w:val="baseline"/>
          <w:lang w:val="en-US"/>
        </w:rPr>
        <w:t xml:space="preserve">See People v Gaines</w:t>
      </w:r>
      <w:r>
        <w:rPr>
          <w:rFonts w:ascii="Arial" w:hAnsi="Arial" w:eastAsia="Arial"/>
          <w:color w:val="000000"/>
          <w:spacing w:val="-4"/>
          <w:w w:val="100"/>
          <w:sz w:val="24"/>
          <w:vertAlign w:val="baseline"/>
          <w:lang w:val="en-US"/>
        </w:rPr>
        <w:t xml:space="preserve">, 74 NY2d 358 (1989).</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39"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0" w:after="0" w:line="324" w:lineRule="exact"/>
        <w:ind w:right="0" w:left="0" w:firstLine="648"/>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enters [remains] UNLAWFULLY in a building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upon real property] which is fenced or otherwise enclosed in a manner designed to exclude intruders when that person has no license or privilege to enter [remain] in such building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upon such real property].</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744"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252"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pt,563.5pt" to="252.05pt,56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4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37" w:after="0" w:line="275" w:lineRule="exact"/>
        <w:ind w:right="0" w:left="0" w:firstLine="0"/>
        <w:jc w:val="left"/>
        <w:textAlignment w:val="baseline"/>
        <w:rPr>
          <w:rFonts w:ascii="Arial" w:hAnsi="Arial" w:eastAsia="Arial"/>
          <w:i w:val="true"/>
          <w:color w:val="000000"/>
          <w:spacing w:val="-2"/>
          <w:w w:val="100"/>
          <w:sz w:val="14"/>
          <w:vertAlign w:val="superscript"/>
          <w:lang w:val="en-US"/>
        </w:rPr>
      </w:pPr>
      <w:r>
        <w:rPr>
          <w:rFonts w:ascii="Arial" w:hAnsi="Arial" w:eastAsia="Arial"/>
          <w:i w:val="true"/>
          <w:color w:val="000000"/>
          <w:spacing w:val="-2"/>
          <w:w w:val="100"/>
          <w:sz w:val="14"/>
          <w:vertAlign w:val="superscript"/>
          <w:lang w:val="en-US"/>
        </w:rPr>
        <w:t xml:space="preserve">6</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footnote 1.</w:t>
      </w:r>
    </w:p>
    <w:p>
      <w:pPr>
        <w:pageBreakBefore w:val="false"/>
        <w:spacing w:before="250"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4"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00" w:right="2126" w:left="2156" w:header="720" w:footer="720"/>
          <w:titlePg w:val="false"/>
          <w:textDirection w:val="lrTb"/>
        </w:sectPr>
      </w:pP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upon real property] which is fenced or otherwise enclosed in a manner designed to exclude intruders when that person is aware that he or she is entering [remaining] in such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upon such real property] without license or privilege to do so.</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3" w:after="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14"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upon real property]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which was fenced or otherwise enclosed in a manner designed to exclude intruders; and</w:t>
      </w:r>
    </w:p>
    <w:p>
      <w:pPr>
        <w:pageBreakBefore w:val="false"/>
        <w:numPr>
          <w:ilvl w:val="0"/>
          <w:numId w:val="1"/>
        </w:numPr>
        <w:tabs>
          <w:tab w:val="clear" w:pos="720"/>
          <w:tab w:val="left" w:pos="1440"/>
        </w:tabs>
        <w:spacing w:before="317"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spacing w:before="32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3125"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18" w:after="3125" w:line="326" w:lineRule="exact"/>
        <w:sectPr>
          <w:type w:val="nextPage"/>
          <w:pgSz w:w="12240" w:h="15840" w:orient="portrait"/>
          <w:pgMar w:bottom="1024" w:top="1440" w:right="2136" w:left="2146" w:header="720" w:footer="720"/>
          <w:titlePg w:val="false"/>
          <w:textDirection w:val="lrTb"/>
        </w:sectPr>
      </w:pPr>
    </w:p>
    <w:p>
      <w:pPr>
        <w:pageBreakBefore w:val="false"/>
        <w:spacing w:before="257" w:after="0" w:line="275" w:lineRule="exact"/>
        <w:ind w:right="0" w:left="0" w:firstLine="0"/>
        <w:jc w:val="left"/>
        <w:textAlignment w:val="baseline"/>
        <w:rPr>
          <w:rFonts w:ascii="Arial" w:hAnsi="Arial" w:eastAsia="Arial"/>
          <w:color w:val="000000"/>
          <w:spacing w:val="-4"/>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5.8pt;height:14.35pt;z-index:-1000;margin-left:298.1pt;margin-top:70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txbxContent>
            </v:textbox>
          </v:shape>
        </w:pict>
      </w:r>
      <w:r>
        <w:pict>
          <v:line strokeweight="0.95pt" strokecolor="#000000" from="107.3pt,667.2pt" to="252.05pt,667.2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9</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15.05(2).</w:t>
      </w:r>
    </w:p>
    <w:sectPr>
      <w:type w:val="continuous"/>
      <w:pgSz w:w="12240" w:h="15840" w:orient="portrait"/>
      <w:pgMar w:bottom="1024" w:top="1440" w:right="7100" w:left="21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