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WELFARE FRAUD IN THE FIFTH DEGREE</w:t>
        <w:br/>
      </w:r>
      <w:r>
        <w:rPr>
          <w:rFonts w:ascii="Arial" w:hAnsi="Arial" w:eastAsia="Arial"/>
          <w:b w:val="true"/>
          <w:color w:val="000000"/>
          <w:spacing w:val="0"/>
          <w:w w:val="100"/>
          <w:sz w:val="28"/>
          <w:vertAlign w:val="baseline"/>
          <w:lang w:val="en-US"/>
        </w:rPr>
        <w:t xml:space="preserve">Penal law § 158.05</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1995)</w:t>
      </w:r>
    </w:p>
    <w:p>
      <w:pPr>
        <w:pageBreakBefore w:val="false"/>
        <w:spacing w:before="324"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Welfare Fraud in the Fifth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Welfare Fraud in the Fifth Degree when that person commits a fraudulent welfare act and thereby takes or obtains public assistance benefits.</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PUBLIC ASSISTANCE BENEFITS means money, property or services provided directly or indirectly through programs of the federal government, the state government or the government of any political subdivision within the state and administered by the department of social services or social services districts.</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FRAUDULENT WELFARE ACT means knowingly and with intent to defraud, engaging in an act or acts pursuant to which a person:</w:t>
      </w:r>
    </w:p>
    <w:p>
      <w:pPr>
        <w:pageBreakBefore w:val="false"/>
        <w:spacing w:before="335" w:after="0" w:line="317"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0" w:after="0" w:line="324"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Offers, presents or causes to be presented to the state, any of its political subdivisions or social services districts, or any employee or agent thereof, an oral or written application or request for public assistance benefits or for a public benefit card with knowledge that the application or request contains a false statement or false information, and such statement or information is material </w:t>
      </w:r>
      <w:r>
        <w:rPr>
          <w:rFonts w:ascii="Arial" w:hAnsi="Arial" w:eastAsia="Arial"/>
          <w:i w:val="true"/>
          <w:color w:val="000000"/>
          <w:spacing w:val="-4"/>
          <w:w w:val="100"/>
          <w:sz w:val="28"/>
          <w:vertAlign w:val="baseline"/>
          <w:lang w:val="en-US"/>
        </w:rPr>
        <w:t xml:space="preserve">[or]</w:t>
      </w:r>
    </w:p>
    <w:p>
      <w:pPr>
        <w:pageBreakBefore w:val="false"/>
        <w:spacing w:before="324" w:after="739"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Holds himself or herself out to be another person, whether real or fictitious, for the purpose of obtaining public assistance benefits </w:t>
      </w:r>
      <w:r>
        <w:rPr>
          <w:rFonts w:ascii="Arial" w:hAnsi="Arial" w:eastAsia="Arial"/>
          <w:i w:val="true"/>
          <w:color w:val="000000"/>
          <w:spacing w:val="0"/>
          <w:w w:val="100"/>
          <w:sz w:val="28"/>
          <w:vertAlign w:val="baseline"/>
          <w:lang w:val="en-US"/>
        </w:rPr>
        <w:t xml:space="preserve">[or]</w:t>
      </w:r>
    </w:p>
    <w:p>
      <w:pPr>
        <w:pageBreakBefore w:val="false"/>
        <w:spacing w:before="258" w:after="0" w:line="276"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1.2pt" strokecolor="#000000" from="108pt,694.1pt" to="252.05pt,694.1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Penal Law § 158.00 (1)(c).</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4"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Makes a false statement or provides false information for</w:t>
      </w:r>
    </w:p>
    <w:p>
      <w:pPr>
        <w:pageBreakBefore w:val="false"/>
        <w:spacing w:before="3" w:after="0" w:line="324"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 purpose of</w:t>
      </w:r>
    </w:p>
    <w:p>
      <w:pPr>
        <w:pageBreakBefore w:val="false"/>
        <w:spacing w:before="9" w:after="0" w:line="319"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0" w:after="0" w:line="320" w:lineRule="exact"/>
        <w:ind w:right="0" w:left="216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establishing or maintaining eligibility for public</w:t>
      </w:r>
    </w:p>
    <w:p>
      <w:pPr>
        <w:pageBreakBefore w:val="false"/>
        <w:spacing w:before="0" w:after="0" w:line="323" w:lineRule="exact"/>
        <w:ind w:right="0"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assistance benefits, [</w:t>
      </w:r>
      <w:r>
        <w:rPr>
          <w:rFonts w:ascii="Arial" w:hAnsi="Arial" w:eastAsia="Arial"/>
          <w:i w:val="true"/>
          <w:color w:val="000000"/>
          <w:spacing w:val="0"/>
          <w:w w:val="100"/>
          <w:sz w:val="28"/>
          <w:vertAlign w:val="baseline"/>
          <w:lang w:val="en-US"/>
        </w:rPr>
        <w:t xml:space="preserve">or</w:t>
      </w:r>
      <w:r>
        <w:rPr>
          <w:rFonts w:ascii="Arial" w:hAnsi="Arial" w:eastAsia="Arial"/>
          <w:color w:val="000000"/>
          <w:spacing w:val="0"/>
          <w:w w:val="100"/>
          <w:sz w:val="28"/>
          <w:vertAlign w:val="baseline"/>
          <w:lang w:val="en-US"/>
        </w:rPr>
        <w:t xml:space="preserve">]</w:t>
      </w:r>
    </w:p>
    <w:p>
      <w:pPr>
        <w:pageBreakBefore w:val="false"/>
        <w:spacing w:before="1" w:after="0" w:line="324" w:lineRule="exact"/>
        <w:ind w:right="0" w:left="216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increasing or preventing reduction of public</w:t>
      </w:r>
    </w:p>
    <w:p>
      <w:pPr>
        <w:pageBreakBefore w:val="false"/>
        <w:spacing w:before="0" w:after="0" w:line="321" w:lineRule="exact"/>
        <w:ind w:right="0"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assistance benefits,</w:t>
      </w:r>
    </w:p>
    <w:p>
      <w:pPr>
        <w:pageBreakBefore w:val="false"/>
        <w:spacing w:before="0"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such statement or information is material.</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36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Some of the terms used in this definition of “fraudulent welfare act” have their own special meaning in our law. I will now give you the meaning of the following terms: “knowingly,” “intent” and [“public benefit card”].</w:t>
      </w:r>
    </w:p>
    <w:p>
      <w:pPr>
        <w:pageBreakBefore w:val="false"/>
        <w:spacing w:before="318" w:after="0" w:line="324" w:lineRule="exact"/>
        <w:ind w:right="36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commits a fraudulent welfare act when that person is aware that he or she is committing a fraudulent welfare act.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36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that person’s conscious objective or purpose is to do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36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[PUBLIC BENEFIT CARD means any medical assistance card, food stamp assistance card, public assistance card, or any other identification, authorization card or electronic access device issued by the state or social services district which entitles a person to obtain public assistance benefits under a local, state, or federal program administered by the state, its political subdivisions, or social services districts.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7" w:after="380" w:line="324"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w:t>
      </w:r>
    </w:p>
    <w:p>
      <w:pPr>
        <w:pageBreakBefore w:val="false"/>
        <w:spacing w:before="257" w:after="0" w:line="275"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8pt,594pt" to="252.05pt,594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158.00 (1)(b).</w:t>
      </w:r>
    </w:p>
    <w:p>
      <w:pPr>
        <w:pageBreakBefore w:val="false"/>
        <w:spacing w:before="237" w:after="0" w:line="275"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15.05 (2).</w:t>
      </w:r>
    </w:p>
    <w:p>
      <w:pPr>
        <w:pageBreakBefore w:val="false"/>
        <w:spacing w:before="244" w:after="0" w:line="275"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15.05 (1).</w:t>
      </w:r>
    </w:p>
    <w:p>
      <w:pPr>
        <w:pageBreakBefore w:val="false"/>
        <w:spacing w:before="162" w:after="0" w:line="162" w:lineRule="exact"/>
        <w:ind w:right="0"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5</w:t>
      </w:r>
    </w:p>
    <w:p>
      <w:pPr>
        <w:pageBreakBefore w:val="false"/>
        <w:spacing w:before="95" w:after="0" w:line="278" w:lineRule="exact"/>
        <w:ind w:right="72"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158.00 (1)(a). For the definition of “social services district,”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Social Services Law § 2 (7).</w:t>
      </w:r>
    </w:p>
    <w:p>
      <w:pPr>
        <w:sectPr>
          <w:type w:val="nextPage"/>
          <w:pgSz w:w="12240" w:h="15840" w:orient="portrait"/>
          <w:pgMar w:bottom="1024" w:top="1440" w:right="1800" w:left="2160" w:header="720" w:footer="720"/>
          <w:titlePg w:val="false"/>
          <w:textDirection w:val="lrTb"/>
        </w:sectPr>
      </w:pPr>
    </w:p>
    <w:p>
      <w:pPr>
        <w:pageBreakBefore w:val="false"/>
        <w:spacing w:before="0" w:after="0" w:line="327" w:lineRule="exact"/>
        <w:ind w:right="144" w:left="144"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People are required to prove from all of the evidence in the case beyond a reasonable doubt both of the following two elements:</w:t>
      </w:r>
    </w:p>
    <w:p>
      <w:pPr>
        <w:pageBreakBefore w:val="false"/>
        <w:numPr>
          <w:ilvl w:val="0"/>
          <w:numId w:val="1"/>
        </w:numPr>
        <w:tabs>
          <w:tab w:val="clear" w:pos="648"/>
          <w:tab w:val="left" w:pos="1584"/>
        </w:tabs>
        <w:spacing w:before="324" w:after="0" w:line="324" w:lineRule="exact"/>
        <w:ind w:right="144" w:left="1584"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committed a fraudulent welfare act; and</w:t>
      </w:r>
    </w:p>
    <w:p>
      <w:pPr>
        <w:pageBreakBefore w:val="false"/>
        <w:numPr>
          <w:ilvl w:val="0"/>
          <w:numId w:val="1"/>
        </w:numPr>
        <w:tabs>
          <w:tab w:val="clear" w:pos="648"/>
          <w:tab w:val="left" w:pos="1584"/>
        </w:tabs>
        <w:spacing w:before="327" w:after="0" w:line="321" w:lineRule="exact"/>
        <w:ind w:right="144" w:left="1584"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did so knowingly and with intent to defraud.</w:t>
      </w:r>
    </w:p>
    <w:p>
      <w:pPr>
        <w:pageBreakBefore w:val="false"/>
        <w:spacing w:before="323" w:after="0" w:line="326" w:lineRule="exact"/>
        <w:ind w:right="144" w:left="144"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0" w:line="325" w:lineRule="exact"/>
        <w:ind w:right="144" w:left="144"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8484" w:top="1440" w:right="1975" w:left="198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