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ROBBERY 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(Dangerous Instrument)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4"/>
          <w:vertAlign w:val="baseline"/>
          <w:lang w:val="en-US"/>
        </w:rPr>
        <w:t xml:space="preserve">Penal Law § </w:t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160.15(3)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</w:t>
        <w:br/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(</w:t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Revised January 5, 2009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660" w:after="0" w:line="321" w:lineRule="exact"/>
        <w:ind w:right="720" w:left="720" w:firstLine="0"/>
        <w:jc w:val="both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[NOTE: Before instructing a jury on any specific robbery charge, read once the introductory Robbery charge found at the beginning of this chapter.]</w:t>
      </w:r>
    </w:p>
    <w:p>
      <w:pPr>
        <w:pageBreakBefore w:val="false"/>
        <w:spacing w:before="650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Robbery in the First Degree.</w:t>
      </w:r>
    </w:p>
    <w:p>
      <w:pPr>
        <w:pageBreakBefore w:val="false"/>
        <w:spacing w:before="339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Under our law, a person is guilty of Robbery in the First Degree when that person forcibly steals property and when, in the course of the commission of the crime [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of immediate flight therefrom], that person [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another participant in the crime] uses or threatens the immediate use of a dangerous instrument.</w:t>
      </w:r>
    </w:p>
    <w:p>
      <w:pPr>
        <w:pageBreakBefore w:val="false"/>
        <w:spacing w:before="317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7" w:after="805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6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6"/>
          <w:w w:val="100"/>
          <w:sz w:val="28"/>
          <w:vertAlign w:val="baseline"/>
          <w:lang w:val="en-US"/>
        </w:rPr>
        <w:t xml:space="preserve">DANGEROUS INSTRUMENT means any instrument, article or substance (including a vehicle) which, under the circumstances in which it is used, attempted to be used, or threatened to be used, is readily capable of causing death or other serious physical injury,</w:t>
      </w:r>
      <w:r>
        <w:rPr>
          <w:rFonts w:ascii="Arial" w:hAnsi="Arial" w:eastAsia="Arial"/>
          <w:color w:val="000000"/>
          <w:spacing w:val="-6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6"/>
          <w:w w:val="100"/>
          <w:sz w:val="28"/>
          <w:vertAlign w:val="baseline"/>
          <w:lang w:val="en-US"/>
        </w:rPr>
        <w:t xml:space="preserve"> that is, serious and protracted disfigurement, protracted impairment of health or protracted loss or impairment of the</w:t>
      </w:r>
    </w:p>
    <w:p>
      <w:pPr>
        <w:pageBreakBefore w:val="false"/>
        <w:spacing w:before="250" w:after="0" w:line="27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12"/>
          <w:vertAlign w:val="superscript"/>
          <w:lang w:val="en-US"/>
        </w:rPr>
      </w:pPr>
      <w:r>
        <w:pict>
          <v:line strokeweight="1.2pt" strokecolor="#000000" from="108pt,585.1pt" to="252.05pt,585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3"/>
          <w:w w:val="100"/>
          <w:sz w:val="12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  <w:t xml:space="preserve"> The revision was for the purpose of updating the elements to accord with decisional law. That law requires that where the defendant “threatens” the immediate use of a dangerous instrument, the People must prove that the defendant possessed that dangerous instrument at the time of the crime. </w:t>
      </w:r>
      <w:r>
        <w:rPr>
          <w:rFonts w:ascii="Arial" w:hAnsi="Arial" w:eastAsia="Arial"/>
          <w:i w:val="true"/>
          <w:color w:val="000000"/>
          <w:spacing w:val="-3"/>
          <w:w w:val="100"/>
          <w:sz w:val="24"/>
          <w:vertAlign w:val="baseline"/>
          <w:lang w:val="en-US"/>
        </w:rPr>
        <w:t xml:space="preserve">People v Ford</w:t>
      </w:r>
      <w:r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  <w:t xml:space="preserve">, 11 NY3d 875, 878 (2008); </w:t>
      </w:r>
      <w:r>
        <w:rPr>
          <w:rFonts w:ascii="Arial" w:hAnsi="Arial" w:eastAsia="Arial"/>
          <w:i w:val="true"/>
          <w:color w:val="000000"/>
          <w:spacing w:val="-3"/>
          <w:w w:val="100"/>
          <w:sz w:val="24"/>
          <w:vertAlign w:val="baseline"/>
          <w:lang w:val="en-US"/>
        </w:rPr>
        <w:t xml:space="preserve">People v Pena</w:t>
      </w:r>
      <w:r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  <w:t xml:space="preserve">, 50 NY2d 400, 407 (1980). </w:t>
      </w:r>
      <w:r>
        <w:rPr>
          <w:rFonts w:ascii="Arial" w:hAnsi="Arial" w:eastAsia="Arial"/>
          <w:i w:val="true"/>
          <w:color w:val="000000"/>
          <w:spacing w:val="-3"/>
          <w:w w:val="100"/>
          <w:sz w:val="24"/>
          <w:vertAlign w:val="baseline"/>
          <w:lang w:val="en-US"/>
        </w:rPr>
        <w:t xml:space="preserve">See also People v Grant</w:t>
      </w:r>
      <w:r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  <w:t xml:space="preserve">, 17 NY3d 613, 617-618 (2011) decided after the revision of this charge.</w:t>
      </w:r>
    </w:p>
    <w:p>
      <w:pPr>
        <w:pageBreakBefore w:val="false"/>
        <w:spacing w:before="237" w:after="0" w:line="278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4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4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4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4"/>
          <w:w w:val="100"/>
          <w:sz w:val="24"/>
          <w:vertAlign w:val="baseline"/>
          <w:lang w:val="en-US"/>
        </w:rPr>
        <w:t xml:space="preserve">Penal Law §10.00(13).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33" w:after="0" w:line="329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function of any bodily organ.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Under that definition, death or other serious physical injury need not in fact be caused.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forcibly stole property from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in the course of the commission of the crime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of immediate flight therefrom], the defendant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another participant in the crime] possessed a dangerous instrument and used or threatened the immediate use of that dangerous instrument.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4101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4" w:after="4101" w:line="324" w:lineRule="exact"/>
        <w:sectPr>
          <w:type w:val="nextPage"/>
          <w:pgSz w:w="12240" w:h="15840" w:orient="portrait"/>
          <w:pgMar w:bottom="1024" w:top="1400" w:right="2126" w:left="2156" w:header="720" w:footer="720"/>
          <w:titlePg w:val="false"/>
          <w:textDirection w:val="lrTb"/>
        </w:sectPr>
      </w:pPr>
    </w:p>
    <w:p>
      <w:pPr>
        <w:pageBreakBefore w:val="false"/>
        <w:spacing w:before="257" w:after="0" w:line="275" w:lineRule="exact"/>
        <w:ind w:right="144" w:left="0" w:firstLine="0"/>
        <w:jc w:val="right"/>
        <w:textAlignment w:val="baseline"/>
        <w:rPr>
          <w:rFonts w:ascii="Arial" w:hAnsi="Arial" w:eastAsia="Arial"/>
          <w:color w:val="000000"/>
          <w:spacing w:val="4"/>
          <w:w w:val="100"/>
          <w:sz w:val="14"/>
          <w:vertAlign w:val="superscript"/>
          <w:lang w:val="en-US"/>
        </w:rPr>
      </w:pPr>
      <w:r>
        <w:pict>
          <v:line strokeweight="0.95pt" strokecolor="#000000" from="107.8pt,667.2pt" to="252.05pt,667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4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4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4"/>
          <w:w w:val="100"/>
          <w:sz w:val="24"/>
          <w:vertAlign w:val="baseline"/>
          <w:lang w:val="en-US"/>
        </w:rPr>
        <w:t xml:space="preserve">Penal Law §10.00(10).</w:t>
      </w:r>
    </w:p>
    <w:p>
      <w:pPr>
        <w:pageBreakBefore w:val="false"/>
        <w:spacing w:before="249" w:after="0" w:line="297" w:lineRule="exact"/>
        <w:ind w:right="0" w:left="0" w:firstLine="0"/>
        <w:jc w:val="right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00" w:right="5960" w:left="2156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