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IDENTITY THEFT IN THE THIRD DEGREE</w:t>
        <w:br/>
      </w:r>
      <w:r>
        <w:rPr>
          <w:rFonts w:ascii="Arial" w:hAnsi="Arial" w:eastAsia="Arial"/>
          <w:b w:val="true"/>
          <w:color w:val="000000"/>
          <w:spacing w:val="0"/>
          <w:w w:val="100"/>
          <w:sz w:val="28"/>
          <w:vertAlign w:val="baseline"/>
          <w:lang w:val="en-US"/>
        </w:rPr>
        <w:t xml:space="preserve">(Obtains goods, etc.)</w:t>
        <w:br/>
      </w:r>
      <w:r>
        <w:rPr>
          <w:rFonts w:ascii="Arial" w:hAnsi="Arial" w:eastAsia="Arial"/>
          <w:b w:val="true"/>
          <w:color w:val="000000"/>
          <w:spacing w:val="0"/>
          <w:w w:val="100"/>
          <w:sz w:val="28"/>
          <w:vertAlign w:val="baseline"/>
          <w:lang w:val="en-US"/>
        </w:rPr>
        <w:t xml:space="preserve">Penal Law § 190.78(1)</w:t>
        <w:br/>
      </w:r>
      <w:r>
        <w:rPr>
          <w:rFonts w:ascii="Arial" w:hAnsi="Arial" w:eastAsia="Arial"/>
          <w:b w:val="true"/>
          <w:color w:val="000000"/>
          <w:spacing w:val="0"/>
          <w:w w:val="100"/>
          <w:sz w:val="28"/>
          <w:vertAlign w:val="baseline"/>
          <w:lang w:val="en-US"/>
        </w:rPr>
        <w:t xml:space="preserve">(Committed on or after Nov. 1, 2002)</w:t>
      </w:r>
    </w:p>
    <w:p>
      <w:pPr>
        <w:pageBreakBefore w:val="false"/>
        <w:spacing w:before="651"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Identity Theft in the Third Degree.</w:t>
      </w:r>
    </w:p>
    <w:p>
      <w:pPr>
        <w:pageBreakBefore w:val="false"/>
        <w:spacing w:before="328"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Identity Theft in the Third Degree when he or she knowingly, and with intent to defraud, assumes the identity of another person</w:t>
      </w:r>
    </w:p>
    <w:p>
      <w:pPr>
        <w:pageBreakBefore w:val="false"/>
        <w:spacing w:before="330" w:after="0" w:line="319"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0" w:after="0" w:line="322" w:lineRule="exact"/>
        <w:ind w:right="288"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presenting himself or herself as that other person [or] by acting as that other person [or]</w:t>
      </w:r>
    </w:p>
    <w:p>
      <w:pPr>
        <w:pageBreakBefore w:val="false"/>
        <w:spacing w:before="21" w:after="0" w:line="31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using personal identifying information of that other person,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655" w:after="0" w:line="324" w:lineRule="exact"/>
        <w:ind w:right="0" w:left="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and thereby obtains goods, money, property or services, or uses credit in the name of such other person, or causes financial loss to such person or to another person or persons.</w:t>
      </w:r>
    </w:p>
    <w:p>
      <w:pPr>
        <w:pageBreakBefore w:val="false"/>
        <w:spacing w:before="326"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4" w:after="0"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assumes the identity of another person when that person is aware that he or she is assuming the identity of that other person.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5" w:after="797"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defraud when his or her conscious</w:t>
      </w:r>
    </w:p>
    <w:p>
      <w:pPr>
        <w:pageBreakBefore w:val="false"/>
        <w:spacing w:before="263" w:after="455" w:line="276" w:lineRule="exact"/>
        <w:ind w:right="0" w:left="0" w:firstLine="720"/>
        <w:jc w:val="both"/>
        <w:textAlignment w:val="baseline"/>
        <w:rPr>
          <w:rFonts w:ascii="Arial" w:hAnsi="Arial" w:eastAsia="Arial"/>
          <w:color w:val="000000"/>
          <w:spacing w:val="-4"/>
          <w:w w:val="100"/>
          <w:sz w:val="16"/>
          <w:vertAlign w:val="superscript"/>
          <w:lang w:val="en-US"/>
        </w:rPr>
      </w:pPr>
      <w:r>
        <w:pict>
          <v:line strokeweight="1.2pt" strokecolor="#000000" from="108pt,630.95pt" to="252.05pt,630.95pt" style="position:absolute;mso-position-horizontal-relative:page;mso-position-vertical-relative:page;">
            <v:stroke dashstyle="solid"/>
          </v:line>
        </w:pict>
      </w:r>
      <w:r>
        <w:rPr>
          <w:rFonts w:ascii="Arial" w:hAnsi="Arial" w:eastAsia="Arial"/>
          <w:color w:val="000000"/>
          <w:spacing w:val="-4"/>
          <w:w w:val="100"/>
          <w:sz w:val="16"/>
          <w:vertAlign w:val="superscript"/>
          <w:lang w:val="en-US"/>
        </w:rPr>
        <w:t xml:space="preserve">1</w:t>
      </w:r>
      <w:r>
        <w:rPr>
          <w:rFonts w:ascii="Arial" w:hAnsi="Arial" w:eastAsia="Arial"/>
          <w:i w:val="true"/>
          <w:color w:val="000000"/>
          <w:spacing w:val="-4"/>
          <w:w w:val="100"/>
          <w:sz w:val="24"/>
          <w:vertAlign w:val="baseline"/>
          <w:lang w:val="en-US"/>
        </w:rPr>
        <w:t xml:space="preserve"> See People v. Roberts</w:t>
      </w:r>
      <w:r>
        <w:rPr>
          <w:rFonts w:ascii="Arial" w:hAnsi="Arial" w:eastAsia="Arial"/>
          <w:color w:val="000000"/>
          <w:spacing w:val="-4"/>
          <w:w w:val="100"/>
          <w:sz w:val="24"/>
          <w:vertAlign w:val="baseline"/>
          <w:lang w:val="en-US"/>
        </w:rPr>
        <w:t xml:space="preserve">, 31 N.Y.3d 406, 419 (2018) (“the requirement that a defendant assumes the identity of another is not a separate element of the crime. Rather, it simply summarizes and introduces the three categories of conduct through which an identity may be assumed”).</w:t>
      </w:r>
    </w:p>
    <w:p>
      <w:pPr>
        <w:spacing w:before="263" w:after="455" w:line="276" w:lineRule="exact"/>
        <w:sectPr>
          <w:type w:val="nextPage"/>
          <w:pgSz w:w="12240" w:h="15840" w:orient="portrait"/>
          <w:pgMar w:bottom="644" w:top="1080" w:right="2140" w:left="2160" w:header="720" w:footer="720"/>
          <w:titlePg w:val="false"/>
          <w:textDirection w:val="lrTb"/>
        </w:sectPr>
      </w:pPr>
    </w:p>
    <w:p>
      <w:pPr>
        <w:pageBreakBefore w:val="false"/>
        <w:spacing w:before="42" w:after="0" w:line="276" w:lineRule="exact"/>
        <w:ind w:right="0" w:left="0" w:firstLine="0"/>
        <w:jc w:val="left"/>
        <w:textAlignment w:val="baseline"/>
        <w:rPr>
          <w:rFonts w:ascii="Arial" w:hAnsi="Arial" w:eastAsia="Arial"/>
          <w:color w:val="000000"/>
          <w:spacing w:val="-4"/>
          <w:w w:val="100"/>
          <w:sz w:val="16"/>
          <w:vertAlign w:val="superscript"/>
          <w:lang w:val="en-US"/>
        </w:rPr>
      </w:pPr>
      <w:r>
        <w:rPr>
          <w:rFonts w:ascii="Arial" w:hAnsi="Arial" w:eastAsia="Arial"/>
          <w:color w:val="000000"/>
          <w:spacing w:val="-4"/>
          <w:w w:val="100"/>
          <w:sz w:val="16"/>
          <w:vertAlign w:val="superscript"/>
          <w:lang w:val="en-US"/>
        </w:rPr>
        <w:t xml:space="preserve">2</w:t>
      </w:r>
      <w:r>
        <w:rPr>
          <w:rFonts w:ascii="Arial" w:hAnsi="Arial" w:eastAsia="Arial"/>
          <w:i w:val="true"/>
          <w:color w:val="000000"/>
          <w:spacing w:val="-4"/>
          <w:w w:val="100"/>
          <w:sz w:val="24"/>
          <w:vertAlign w:val="baseline"/>
          <w:lang w:val="en-US"/>
        </w:rPr>
        <w:t xml:space="preserve"> See </w:t>
      </w:r>
      <w:r>
        <w:rPr>
          <w:rFonts w:ascii="Arial" w:hAnsi="Arial" w:eastAsia="Arial"/>
          <w:color w:val="000000"/>
          <w:spacing w:val="-4"/>
          <w:w w:val="100"/>
          <w:sz w:val="24"/>
          <w:vertAlign w:val="baseline"/>
          <w:lang w:val="en-US"/>
        </w:rPr>
        <w:t xml:space="preserve">Penal Law § 15.05(2).</w:t>
      </w:r>
    </w:p>
    <w:p>
      <w:pPr>
        <w:sectPr>
          <w:type w:val="continuous"/>
          <w:pgSz w:w="12240" w:h="15840" w:orient="portrait"/>
          <w:pgMar w:bottom="644" w:top="1080" w:right="6360" w:left="2880" w:header="720" w:footer="720"/>
          <w:titlePg w:val="false"/>
          <w:textDirection w:val="lrTb"/>
        </w:sectPr>
      </w:pPr>
    </w:p>
    <w:p>
      <w:pPr>
        <w:pageBreakBefore w:val="false"/>
        <w:spacing w:before="38" w:after="0" w:line="324"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objective or purpose is to do so.</w:t>
      </w:r>
      <w:r>
        <w:rPr>
          <w:rFonts w:ascii="Arial" w:hAnsi="Arial" w:eastAsia="Arial"/>
          <w:color w:val="000000"/>
          <w:spacing w:val="-1"/>
          <w:w w:val="100"/>
          <w:sz w:val="28"/>
          <w:vertAlign w:val="superscript"/>
          <w:lang w:val="en-US"/>
        </w:rPr>
        <w:t xml:space="preserve">3</w:t>
      </w:r>
      <w:r>
        <w:rPr>
          <w:rFonts w:ascii="Arial" w:hAnsi="Arial" w:eastAsia="Arial"/>
          <w:color w:val="000000"/>
          <w:spacing w:val="-1"/>
          <w:w w:val="100"/>
          <w:sz w:val="17"/>
          <w:vertAlign w:val="baseline"/>
          <w:lang w:val="en-US"/>
        </w:rPr>
        <w:t xml:space="preserve">
</w:t>
      </w:r>
    </w:p>
    <w:p>
      <w:pPr>
        <w:pageBreakBefore w:val="false"/>
        <w:spacing w:before="658" w:after="0" w:line="324"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PERSONAL IDENTIFYING INFORMATION means a person’s</w:t>
      </w:r>
    </w:p>
    <w:p>
      <w:pPr>
        <w:pageBreakBefore w:val="false"/>
        <w:spacing w:before="324" w:after="0" w:line="319"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the appropriate alternative(s)</w:t>
      </w:r>
    </w:p>
    <w:p>
      <w:pPr>
        <w:pageBreakBefore w:val="false"/>
        <w:spacing w:before="0" w:after="0" w:line="322" w:lineRule="exact"/>
        <w:ind w:right="0" w:left="0" w:firstLine="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name,</w:t>
      </w:r>
    </w:p>
    <w:p>
      <w:pPr>
        <w:pageBreakBefore w:val="false"/>
        <w:spacing w:before="2" w:after="0" w:line="324"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address,</w:t>
      </w:r>
    </w:p>
    <w:p>
      <w:pPr>
        <w:pageBreakBefore w:val="false"/>
        <w:spacing w:before="0" w:after="0"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telephone number,</w:t>
      </w:r>
    </w:p>
    <w:p>
      <w:pPr>
        <w:pageBreakBefore w:val="false"/>
        <w:spacing w:before="2"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date of birth,</w:t>
      </w:r>
    </w:p>
    <w:p>
      <w:pPr>
        <w:pageBreakBefore w:val="false"/>
        <w:spacing w:before="0" w:after="0"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driver’s license number,</w:t>
      </w:r>
    </w:p>
    <w:p>
      <w:pPr>
        <w:pageBreakBefore w:val="false"/>
        <w:spacing w:before="2"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social security number,</w:t>
      </w:r>
    </w:p>
    <w:p>
      <w:pPr>
        <w:pageBreakBefore w:val="false"/>
        <w:spacing w:before="0" w:after="0" w:line="322"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place of employment,</w:t>
      </w:r>
    </w:p>
    <w:p>
      <w:pPr>
        <w:pageBreakBefore w:val="false"/>
        <w:spacing w:before="2"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mother’s maiden name,</w:t>
      </w:r>
    </w:p>
    <w:p>
      <w:pPr>
        <w:pageBreakBefore w:val="false"/>
        <w:spacing w:before="0" w:after="0"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financial services account number or code,</w:t>
      </w:r>
    </w:p>
    <w:p>
      <w:pPr>
        <w:pageBreakBefore w:val="false"/>
        <w:spacing w:before="0" w:after="0"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savings account number or code,</w:t>
      </w:r>
    </w:p>
    <w:p>
      <w:pPr>
        <w:pageBreakBefore w:val="false"/>
        <w:spacing w:before="3"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checking account number or code,</w:t>
      </w:r>
    </w:p>
    <w:p>
      <w:pPr>
        <w:pageBreakBefore w:val="false"/>
        <w:spacing w:before="2"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brokerage account number or code,</w:t>
      </w:r>
    </w:p>
    <w:p>
      <w:pPr>
        <w:pageBreakBefore w:val="false"/>
        <w:spacing w:before="0" w:after="0"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credit card account number or code,</w:t>
      </w:r>
    </w:p>
    <w:p>
      <w:pPr>
        <w:pageBreakBefore w:val="false"/>
        <w:spacing w:before="0" w:after="0"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debit account number or code,</w:t>
      </w:r>
    </w:p>
    <w:p>
      <w:pPr>
        <w:pageBreakBefore w:val="false"/>
        <w:spacing w:before="3"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automated teller machine number or code,</w:t>
      </w:r>
    </w:p>
    <w:p>
      <w:pPr>
        <w:pageBreakBefore w:val="false"/>
        <w:spacing w:before="0" w:after="0"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taxpayer identification number,</w:t>
      </w:r>
    </w:p>
    <w:p>
      <w:pPr>
        <w:pageBreakBefore w:val="false"/>
        <w:spacing w:before="3"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system password,</w:t>
      </w:r>
    </w:p>
    <w:p>
      <w:pPr>
        <w:pageBreakBefore w:val="false"/>
        <w:spacing w:before="2"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signature or copy of a signature,</w:t>
      </w:r>
    </w:p>
    <w:p>
      <w:pPr>
        <w:pageBreakBefore w:val="false"/>
        <w:spacing w:before="0" w:after="0" w:line="316" w:lineRule="exact"/>
        <w:ind w:right="0" w:left="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electronic signature</w:t>
      </w:r>
      <w:r>
        <w:rPr>
          <w:rFonts w:ascii="Arial" w:hAnsi="Arial" w:eastAsia="Arial"/>
          <w:color w:val="000000"/>
          <w:spacing w:val="-3"/>
          <w:w w:val="100"/>
          <w:sz w:val="28"/>
          <w:vertAlign w:val="superscript"/>
          <w:lang w:val="en-US"/>
        </w:rPr>
        <w:t xml:space="preserve">4</w:t>
      </w:r>
      <w:r>
        <w:rPr>
          <w:rFonts w:ascii="Arial" w:hAnsi="Arial" w:eastAsia="Arial"/>
          <w:color w:val="000000"/>
          <w:spacing w:val="-3"/>
          <w:w w:val="100"/>
          <w:sz w:val="28"/>
          <w:vertAlign w:val="baseline"/>
          <w:lang w:val="en-US"/>
        </w:rPr>
        <w:t xml:space="preserve">,</w:t>
      </w:r>
    </w:p>
    <w:p>
      <w:pPr>
        <w:pageBreakBefore w:val="false"/>
        <w:spacing w:before="3" w:after="0" w:line="324" w:lineRule="exact"/>
        <w:ind w:right="0" w:left="0" w:firstLine="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unique biometric data that is a fingerprint, voice print, retinal</w:t>
      </w:r>
    </w:p>
    <w:p>
      <w:pPr>
        <w:pageBreakBefore w:val="false"/>
        <w:spacing w:before="3"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image or iris image of another person,</w:t>
      </w:r>
    </w:p>
    <w:p>
      <w:pPr>
        <w:pageBreakBefore w:val="false"/>
        <w:spacing w:before="2"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telephone calling card number,</w:t>
      </w:r>
    </w:p>
    <w:p>
      <w:pPr>
        <w:pageBreakBefore w:val="false"/>
        <w:spacing w:before="0" w:after="1266"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mobile identification number or code,</w:t>
      </w:r>
    </w:p>
    <w:p>
      <w:pPr>
        <w:pageBreakBefore w:val="false"/>
        <w:spacing w:before="257" w:after="0" w:line="276" w:lineRule="exact"/>
        <w:ind w:right="0" w:left="720" w:firstLine="0"/>
        <w:jc w:val="left"/>
        <w:textAlignment w:val="baseline"/>
        <w:rPr>
          <w:rFonts w:ascii="Arial" w:hAnsi="Arial" w:eastAsia="Arial"/>
          <w:color w:val="000000"/>
          <w:spacing w:val="0"/>
          <w:w w:val="100"/>
          <w:sz w:val="16"/>
          <w:vertAlign w:val="superscript"/>
          <w:lang w:val="en-US"/>
        </w:rPr>
      </w:pPr>
      <w:r>
        <w:pict>
          <v:line strokeweight="1.2pt" strokecolor="#000000" from="107.4pt,604.3pt" to="252.05pt,604.3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257" w:after="0" w:line="276" w:lineRule="exact"/>
        <w:ind w:right="0" w:left="0" w:firstLine="720"/>
        <w:jc w:val="both"/>
        <w:textAlignment w:val="baseline"/>
        <w:rPr>
          <w:rFonts w:ascii="Arial" w:hAnsi="Arial" w:eastAsia="Arial"/>
          <w:color w:val="000000"/>
          <w:spacing w:val="-3"/>
          <w:w w:val="100"/>
          <w:sz w:val="16"/>
          <w:vertAlign w:val="superscript"/>
          <w:lang w:val="en-US"/>
        </w:rPr>
      </w:pPr>
      <w:r>
        <w:rPr>
          <w:rFonts w:ascii="Arial" w:hAnsi="Arial" w:eastAsia="Arial"/>
          <w:color w:val="000000"/>
          <w:spacing w:val="-3"/>
          <w:w w:val="100"/>
          <w:sz w:val="16"/>
          <w:vertAlign w:val="superscript"/>
          <w:lang w:val="en-US"/>
        </w:rPr>
        <w:t xml:space="preserve">4</w:t>
      </w:r>
      <w:r>
        <w:rPr>
          <w:rFonts w:ascii="Arial" w:hAnsi="Arial" w:eastAsia="Arial"/>
          <w:color w:val="000000"/>
          <w:spacing w:val="-3"/>
          <w:w w:val="100"/>
          <w:sz w:val="24"/>
          <w:vertAlign w:val="baseline"/>
          <w:lang w:val="en-US"/>
        </w:rPr>
        <w:t xml:space="preserve"> “Electronic signature” is a separately defined term and if in issue, the Court should charge as follows: ELECTRONIC SIGNATURE means an electronic sound, symbol, or process attached to or logically associated with an electronic record and executed or adopted by a person with intent to sign the record . </w:t>
      </w:r>
      <w:r>
        <w:rPr>
          <w:rFonts w:ascii="Arial" w:hAnsi="Arial" w:eastAsia="Arial"/>
          <w:i w:val="true"/>
          <w:color w:val="000000"/>
          <w:spacing w:val="-3"/>
          <w:w w:val="100"/>
          <w:sz w:val="24"/>
          <w:vertAlign w:val="baseline"/>
          <w:lang w:val="en-US"/>
        </w:rPr>
        <w:t xml:space="preserve">See </w:t>
      </w:r>
      <w:r>
        <w:rPr>
          <w:rFonts w:ascii="Arial" w:hAnsi="Arial" w:eastAsia="Arial"/>
          <w:color w:val="000000"/>
          <w:spacing w:val="-3"/>
          <w:w w:val="100"/>
          <w:sz w:val="24"/>
          <w:vertAlign w:val="baseline"/>
          <w:lang w:val="en-US"/>
        </w:rPr>
        <w:t xml:space="preserve">Penal Law § 190.77(2)(a); State Technology Law § 102(3).</w:t>
      </w:r>
    </w:p>
    <w:p>
      <w:pPr>
        <w:pageBreakBefore w:val="false"/>
        <w:spacing w:before="248" w:after="0" w:line="271"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p>
      <w:pPr>
        <w:sectPr>
          <w:type w:val="nextPage"/>
          <w:pgSz w:w="12240" w:h="15840" w:orient="portrait"/>
          <w:pgMar w:bottom="664" w:top="1040" w:right="2152" w:left="2148" w:header="720" w:footer="720"/>
          <w:titlePg w:val="false"/>
          <w:textDirection w:val="lrTb"/>
        </w:sectPr>
      </w:pPr>
    </w:p>
    <w:p>
      <w:pPr>
        <w:pageBreakBefore w:val="false"/>
        <w:spacing w:before="40"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electronic serial number or personal identification number</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or any other name, number, code or information that may be used alone or in conjunction with other such information to assume the identity of another person.</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329" w:after="0" w:line="324" w:lineRule="exact"/>
        <w:ind w:right="0" w:left="0" w:firstLine="72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6" w:after="0" w:line="324" w:lineRule="exact"/>
        <w:ind w:right="144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w:t>
      </w:r>
      <w:r>
        <w:rPr>
          <w:rFonts w:ascii="Arial" w:hAnsi="Arial" w:eastAsia="Arial"/>
          <w:i w:val="true"/>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name</w:t>
      </w:r>
      <w:r>
        <w:rPr>
          <w:rFonts w:ascii="Arial" w:hAnsi="Arial" w:eastAsia="Arial"/>
          <w:color w:val="000000"/>
          <w:spacing w:val="0"/>
          <w:w w:val="100"/>
          <w:sz w:val="28"/>
          <w:vertAlign w:val="baseline"/>
          <w:lang w:val="en-US"/>
        </w:rPr>
        <w:t xml:space="preserve">) assumed the identity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spacing w:before="328" w:after="0" w:line="320"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 </w:t>
      </w:r>
    </w:p>
    <w:p>
      <w:pPr>
        <w:pageBreakBefore w:val="false"/>
        <w:spacing w:before="328" w:after="0" w:line="318"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presenting himself/herself as that person [or]</w:t>
      </w:r>
    </w:p>
    <w:p>
      <w:pPr>
        <w:pageBreakBefore w:val="false"/>
        <w:spacing w:before="3" w:after="0" w:line="318"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acting as that person [or]</w:t>
      </w:r>
    </w:p>
    <w:p>
      <w:pPr>
        <w:pageBreakBefore w:val="false"/>
        <w:spacing w:before="4" w:after="0" w:line="318" w:lineRule="exact"/>
        <w:ind w:right="0" w:left="1440" w:firstLine="0"/>
        <w:jc w:val="left"/>
        <w:textAlignment w:val="baseline"/>
        <w:rPr>
          <w:rFonts w:ascii="Arial" w:hAnsi="Arial" w:eastAsia="Arial"/>
          <w:color w:val="000000"/>
          <w:spacing w:val="9"/>
          <w:w w:val="100"/>
          <w:sz w:val="28"/>
          <w:vertAlign w:val="baseline"/>
          <w:lang w:val="en-US"/>
        </w:rPr>
      </w:pPr>
      <w:r>
        <w:rPr>
          <w:rFonts w:ascii="Arial" w:hAnsi="Arial" w:eastAsia="Arial"/>
          <w:color w:val="000000"/>
          <w:spacing w:val="9"/>
          <w:w w:val="100"/>
          <w:sz w:val="28"/>
          <w:vertAlign w:val="baseline"/>
          <w:lang w:val="en-US"/>
        </w:rPr>
        <w:t xml:space="preserve">by using personal identifying information of that</w:t>
      </w:r>
    </w:p>
    <w:p>
      <w:pPr>
        <w:pageBreakBefore w:val="false"/>
        <w:spacing w:before="8" w:after="0" w:line="318" w:lineRule="exact"/>
        <w:ind w:right="0" w:left="144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person;</w:t>
      </w:r>
    </w:p>
    <w:p>
      <w:pPr>
        <w:pageBreakBefore w:val="false"/>
        <w:numPr>
          <w:ilvl w:val="0"/>
          <w:numId w:val="1"/>
        </w:numPr>
        <w:tabs>
          <w:tab w:val="clear" w:pos="720"/>
          <w:tab w:val="left" w:pos="1440"/>
        </w:tabs>
        <w:spacing w:before="321" w:after="0" w:line="327" w:lineRule="exact"/>
        <w:ind w:right="144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 with intent to defraud; and</w:t>
      </w:r>
    </w:p>
    <w:p>
      <w:pPr>
        <w:pageBreakBefore w:val="false"/>
        <w:numPr>
          <w:ilvl w:val="0"/>
          <w:numId w:val="1"/>
        </w:numPr>
        <w:tabs>
          <w:tab w:val="clear" w:pos="720"/>
          <w:tab w:val="left" w:pos="1440"/>
        </w:tabs>
        <w:spacing w:before="325" w:after="0" w:line="318" w:lineRule="exact"/>
        <w:ind w:right="0" w:left="1440" w:hanging="72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the defendant thereby</w:t>
      </w:r>
    </w:p>
    <w:p>
      <w:pPr>
        <w:pageBreakBefore w:val="false"/>
        <w:spacing w:before="335" w:after="0" w:line="318"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5" w:after="0" w:line="318"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obtained goods, money, property or services [or]</w:t>
      </w:r>
    </w:p>
    <w:p>
      <w:pPr>
        <w:pageBreakBefore w:val="false"/>
        <w:spacing w:before="325" w:after="0" w:line="318"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used credit in the name of that other person [or]</w:t>
      </w:r>
    </w:p>
    <w:p>
      <w:pPr>
        <w:pageBreakBefore w:val="false"/>
        <w:spacing w:before="330" w:after="350" w:line="318" w:lineRule="exact"/>
        <w:ind w:right="0" w:left="1440" w:firstLine="0"/>
        <w:jc w:val="left"/>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caused financial loss to that person or to another</w:t>
      </w:r>
    </w:p>
    <w:p>
      <w:pPr>
        <w:pageBreakBefore w:val="false"/>
        <w:spacing w:before="270" w:after="0" w:line="276" w:lineRule="exact"/>
        <w:ind w:right="0" w:left="0" w:firstLine="720"/>
        <w:jc w:val="both"/>
        <w:textAlignment w:val="baseline"/>
        <w:rPr>
          <w:rFonts w:ascii="Arial" w:hAnsi="Arial" w:eastAsia="Arial"/>
          <w:color w:val="000000"/>
          <w:spacing w:val="0"/>
          <w:w w:val="100"/>
          <w:sz w:val="16"/>
          <w:vertAlign w:val="superscript"/>
          <w:lang w:val="en-US"/>
        </w:rPr>
      </w:pPr>
      <w:r>
        <w:pict>
          <v:line strokeweight="1.2pt" strokecolor="#000000" from="107.85pt,590.4pt" to="252.05pt,590.4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5</w:t>
      </w:r>
      <w:r>
        <w:rPr>
          <w:rFonts w:ascii="Arial" w:hAnsi="Arial" w:eastAsia="Arial"/>
          <w:color w:val="000000"/>
          <w:spacing w:val="0"/>
          <w:w w:val="100"/>
          <w:sz w:val="24"/>
          <w:vertAlign w:val="baseline"/>
          <w:lang w:val="en-US"/>
        </w:rPr>
        <w:t xml:space="preserve"> “Personal identification number” is a separately defined term and if in issue, the Court should charge as follows:</w:t>
      </w:r>
    </w:p>
    <w:p>
      <w:pPr>
        <w:pageBreakBefore w:val="false"/>
        <w:spacing w:before="0" w:after="0" w:line="276"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PERSONAL IDENTIFICATION NUMBER means any number or code which may be used alone or in conjunction with any other information to assume the identity of another person or access financial resources or credit of another person. Penal Law § 190.77(2)(b).</w:t>
      </w:r>
    </w:p>
    <w:p>
      <w:pPr>
        <w:pageBreakBefore w:val="false"/>
        <w:spacing w:before="242" w:after="247" w:line="276"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6</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190.77(1).</w:t>
      </w: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p>
      <w:pPr>
        <w:sectPr>
          <w:type w:val="nextPage"/>
          <w:pgSz w:w="12240" w:h="15840" w:orient="portrait"/>
          <w:pgMar w:bottom="664" w:top="1040" w:right="2143" w:left="2157" w:header="720" w:footer="720"/>
          <w:titlePg w:val="false"/>
          <w:textDirection w:val="lrTb"/>
        </w:sectPr>
      </w:pPr>
    </w:p>
    <w:p>
      <w:pPr>
        <w:pageBreakBefore w:val="false"/>
        <w:spacing w:before="1" w:after="653" w:line="325" w:lineRule="exact"/>
        <w:ind w:right="0" w:left="0" w:firstLine="0"/>
        <w:jc w:val="left"/>
        <w:textAlignment w:val="baseline"/>
        <w:rPr>
          <w:rFonts w:ascii="Arial" w:hAnsi="Arial" w:eastAsia="Arial"/>
          <w:color w:val="000000"/>
          <w:spacing w:val="-7"/>
          <w:w w:val="100"/>
          <w:sz w:val="28"/>
          <w:vertAlign w:val="baseline"/>
          <w:lang w:val="en-US"/>
        </w:rPr>
      </w:pPr>
      <w:r>
        <w:rPr>
          <w:rFonts w:ascii="Arial" w:hAnsi="Arial" w:eastAsia="Arial"/>
          <w:color w:val="000000"/>
          <w:spacing w:val="-7"/>
          <w:w w:val="100"/>
          <w:sz w:val="28"/>
          <w:vertAlign w:val="baseline"/>
          <w:lang w:val="en-US"/>
        </w:rPr>
        <w:t xml:space="preserve">person or persons.]</w:t>
      </w:r>
    </w:p>
    <w:p>
      <w:pPr>
        <w:spacing w:before="1" w:after="653" w:line="325" w:lineRule="exact"/>
        <w:sectPr>
          <w:type w:val="nextPage"/>
          <w:pgSz w:w="12240" w:h="15840" w:orient="portrait"/>
          <w:pgMar w:bottom="664" w:top="1080" w:right="6226" w:left="3614" w:header="720" w:footer="720"/>
          <w:titlePg w:val="false"/>
          <w:textDirection w:val="lrTb"/>
        </w:sectPr>
      </w:pPr>
    </w:p>
    <w:p>
      <w:pPr>
        <w:pageBreakBefore w:val="false"/>
        <w:spacing w:before="1" w:after="0" w:line="321"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an affirmative defense does not apply, then conclude with the following two paragraphs. If the affirmative defense does apply, then omit the following two paragraphs, and insert here the affirmative defense charge in the Additional Charges section to this article.</w:t>
      </w:r>
    </w:p>
    <w:p>
      <w:pPr>
        <w:pageBreakBefore w:val="false"/>
        <w:spacing w:before="32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6" w:after="791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16" w:after="7910" w:line="325" w:lineRule="exact"/>
        <w:sectPr>
          <w:type w:val="continuous"/>
          <w:pgSz w:w="12240" w:h="15840" w:orient="portrait"/>
          <w:pgMar w:bottom="664" w:top="1080" w:right="2145" w:left="2155" w:header="720" w:footer="720"/>
          <w:titlePg w:val="false"/>
          <w:textDirection w:val="lrTb"/>
        </w:sectPr>
      </w:pPr>
    </w:p>
    <w:p>
      <w:pPr>
        <w:pageBreakBefore w:val="false"/>
        <w:spacing w:before="3" w:after="0" w:line="273"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4</w:t>
      </w:r>
    </w:p>
    <w:sectPr>
      <w:type w:val="continuous"/>
      <w:pgSz w:w="12240" w:h="15840" w:orient="portrait"/>
      <w:pgMar w:bottom="664" w:top="108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