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4" w:after="0" w:line="414"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ABSCONDING FROM TEMPORARY RELEASE</w:t>
        <w:br/>
      </w:r>
      <w:r>
        <w:rPr>
          <w:rFonts w:ascii="Arial" w:hAnsi="Arial" w:eastAsia="Arial"/>
          <w:b w:val="true"/>
          <w:color w:val="000000"/>
          <w:spacing w:val="0"/>
          <w:w w:val="100"/>
          <w:sz w:val="28"/>
          <w:vertAlign w:val="baseline"/>
          <w:lang w:val="en-US"/>
        </w:rPr>
        <w:t xml:space="preserve">IN THE SECOND DEGREE</w:t>
        <w:br/>
      </w:r>
      <w:r>
        <w:rPr>
          <w:rFonts w:ascii="Arial" w:hAnsi="Arial" w:eastAsia="Arial"/>
          <w:b w:val="true"/>
          <w:color w:val="000000"/>
          <w:spacing w:val="0"/>
          <w:w w:val="100"/>
          <w:sz w:val="28"/>
          <w:vertAlign w:val="baseline"/>
          <w:lang w:val="en-US"/>
        </w:rPr>
        <w:t xml:space="preserve">(Work Release)</w:t>
        <w:br/>
      </w:r>
      <w:r>
        <w:rPr>
          <w:rFonts w:ascii="Arial" w:hAnsi="Arial" w:eastAsia="Arial"/>
          <w:b w:val="true"/>
          <w:color w:val="000000"/>
          <w:spacing w:val="0"/>
          <w:w w:val="100"/>
          <w:sz w:val="28"/>
          <w:vertAlign w:val="baseline"/>
          <w:lang w:val="en-US"/>
        </w:rPr>
        <w:t xml:space="preserve">Penal Law § 205.16</w:t>
        <w:br/>
      </w:r>
      <w:r>
        <w:rPr>
          <w:rFonts w:ascii="Arial" w:hAnsi="Arial" w:eastAsia="Arial"/>
          <w:b w:val="true"/>
          <w:color w:val="000000"/>
          <w:spacing w:val="0"/>
          <w:w w:val="100"/>
          <w:sz w:val="28"/>
          <w:vertAlign w:val="baseline"/>
          <w:lang w:val="en-US"/>
        </w:rPr>
        <w:t xml:space="preserve">(Committed on or after June 21, 1972)</w:t>
      </w:r>
    </w:p>
    <w:p>
      <w:pPr>
        <w:pageBreakBefore w:val="false"/>
        <w:spacing w:before="418" w:after="0" w:line="40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(specify) count is Absconding From Temporary Release in the Second Degree.</w:t>
      </w:r>
    </w:p>
    <w:p>
      <w:pPr>
        <w:pageBreakBefore w:val="false"/>
        <w:spacing w:before="408" w:after="0" w:line="40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Absconding From Temporary Release in the Second Degree when, having been released from confinement in a</w:t>
      </w:r>
    </w:p>
    <w:p>
      <w:pPr>
        <w:pageBreakBefore w:val="false"/>
        <w:spacing w:before="492" w:after="0" w:line="317" w:lineRule="exact"/>
        <w:ind w:right="0" w:left="72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appropriate alternative: </w:t>
      </w:r>
    </w:p>
    <w:p>
      <w:pPr>
        <w:pageBreakBefore w:val="false"/>
        <w:spacing w:before="86" w:after="0" w:line="320"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correctional institution</w:t>
      </w:r>
    </w:p>
    <w:p>
      <w:pPr>
        <w:pageBreakBefore w:val="false"/>
        <w:spacing w:before="75" w:after="0" w:line="320"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state office of children and family services</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28"/>
          <w:vertAlign w:val="baseline"/>
          <w:lang w:val="en-US"/>
        </w:rPr>
        <w:t xml:space="preserve"> facility</w:t>
      </w:r>
    </w:p>
    <w:p>
      <w:pPr>
        <w:pageBreakBefore w:val="false"/>
        <w:spacing w:before="408" w:after="0" w:line="406" w:lineRule="exact"/>
        <w:ind w:right="0" w:left="0" w:firstLine="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to participate in a program of work release, that person intentionally fails to return to the institution or facility of his or her confinement at or before the time prescribed for his or her return.</w:t>
      </w:r>
    </w:p>
    <w:p>
      <w:pPr>
        <w:pageBreakBefore w:val="false"/>
        <w:spacing w:before="403" w:after="0" w:line="40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409" w:after="358" w:line="404" w:lineRule="exact"/>
        <w:ind w:right="0" w:left="0" w:firstLine="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A WORK RELEASE PROGRAM is a program under which eligible inmates may be granted the privilege of leaving the premises of an institution for a period not exceeding fourteen hours in any day for the purpose of on-the-job training or employment, or for any matter necessary to the furtherance of</w:t>
      </w:r>
    </w:p>
    <w:p>
      <w:pPr>
        <w:pageBreakBefore w:val="false"/>
        <w:spacing w:before="202" w:after="0" w:line="353" w:lineRule="exact"/>
        <w:ind w:right="0" w:left="0" w:firstLine="720"/>
        <w:jc w:val="both"/>
        <w:textAlignment w:val="baseline"/>
        <w:rPr>
          <w:rFonts w:ascii="Arial" w:hAnsi="Arial" w:eastAsia="Arial"/>
          <w:color w:val="000000"/>
          <w:spacing w:val="0"/>
          <w:w w:val="100"/>
          <w:sz w:val="16"/>
          <w:vertAlign w:val="superscript"/>
          <w:lang w:val="en-US"/>
        </w:rPr>
      </w:pPr>
      <w:r>
        <w:pict>
          <v:line strokeweight="0.95pt" strokecolor="#000000" from="108pt,658.1pt" to="252.05pt,658.1pt" style="position:absolute;mso-position-horizontal-relative:page;mso-position-vertical-relative:page;">
            <v:stroke dashstyle="solid"/>
          </v:line>
        </w:pict>
      </w:r>
      <w:r>
        <w:rPr>
          <w:rFonts w:ascii="Arial" w:hAnsi="Arial" w:eastAsia="Arial"/>
          <w:color w:val="000000"/>
          <w:spacing w:val="0"/>
          <w:w w:val="100"/>
          <w:sz w:val="16"/>
          <w:vertAlign w:val="superscript"/>
          <w:lang w:val="en-US"/>
        </w:rPr>
        <w:t xml:space="preserve">1</w:t>
      </w:r>
      <w:r>
        <w:rPr>
          <w:rFonts w:ascii="Arial" w:hAnsi="Arial" w:eastAsia="Arial"/>
          <w:color w:val="000000"/>
          <w:spacing w:val="0"/>
          <w:w w:val="100"/>
          <w:sz w:val="26"/>
          <w:vertAlign w:val="baseline"/>
          <w:lang w:val="en-US"/>
        </w:rPr>
        <w:t xml:space="preserve"> The statute states: “division of youth.” However, on </w:t>
      </w:r>
      <w:r>
        <w:rPr>
          <w:rFonts w:ascii="Arial" w:hAnsi="Arial" w:eastAsia="Arial"/>
          <w:color w:val="000000"/>
          <w:spacing w:val="0"/>
          <w:w w:val="100"/>
          <w:sz w:val="24"/>
          <w:vertAlign w:val="baseline"/>
          <w:lang w:val="en-US"/>
        </w:rPr>
        <w:t xml:space="preserve">January 8, 1998, the "Division of Youth" (DOY) was renamed the "Office of Children &amp; Family Services" (OCFS). A reference to the DOY is deemed a reference to OCFS [Executive Law § 500(3)].</w:t>
      </w:r>
    </w:p>
    <w:p>
      <w:pPr>
        <w:sectPr>
          <w:type w:val="nextPage"/>
          <w:pgSz w:w="12240" w:h="15840" w:orient="portrait"/>
          <w:pgMar w:bottom="664" w:top="1000" w:right="2140" w:left="2160" w:header="720" w:footer="720"/>
          <w:titlePg w:val="false"/>
          <w:textDirection w:val="lrTb"/>
        </w:sectPr>
      </w:pPr>
    </w:p>
    <w:p>
      <w:pPr>
        <w:pageBreakBefore w:val="false"/>
        <w:spacing w:before="41" w:after="0" w:line="321" w:lineRule="exact"/>
        <w:ind w:right="0" w:left="0" w:firstLine="0"/>
        <w:jc w:val="left"/>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any such purposes.</w:t>
      </w:r>
      <w:r>
        <w:rPr>
          <w:rFonts w:ascii="Arial" w:hAnsi="Arial" w:eastAsia="Arial"/>
          <w:color w:val="000000"/>
          <w:spacing w:val="-3"/>
          <w:w w:val="100"/>
          <w:sz w:val="28"/>
          <w:vertAlign w:val="superscript"/>
          <w:lang w:val="en-US"/>
        </w:rPr>
        <w:t xml:space="preserve">2</w:t>
      </w:r>
      <w:r>
        <w:rPr>
          <w:rFonts w:ascii="Arial" w:hAnsi="Arial" w:eastAsia="Arial"/>
          <w:color w:val="000000"/>
          <w:spacing w:val="-3"/>
          <w:w w:val="100"/>
          <w:sz w:val="17"/>
          <w:vertAlign w:val="baseline"/>
          <w:lang w:val="en-US"/>
        </w:rPr>
        <w:t xml:space="preserve">
</w:t>
      </w:r>
    </w:p>
    <w:p>
      <w:pPr>
        <w:pageBreakBefore w:val="false"/>
        <w:spacing w:before="408" w:after="0" w:line="40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28"/>
          <w:vertAlign w:val="baseline"/>
          <w:lang w:val="en-US"/>
        </w:rPr>
        <w:t xml:space="preserve"> Thus, a person INTENTIONALLY fails to return to the institution or facility of his or her confinement at or before the time prescribed for his or her return when that person’s conscious objective or purpose is to do so.</w:t>
      </w:r>
    </w:p>
    <w:p>
      <w:pPr>
        <w:pageBreakBefore w:val="false"/>
        <w:spacing w:before="409" w:after="0" w:line="403"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the evidence in the case, beyond a reasonable doubt, both of the following two elements:</w:t>
      </w:r>
    </w:p>
    <w:p>
      <w:pPr>
        <w:pageBreakBefore w:val="false"/>
        <w:numPr>
          <w:ilvl w:val="0"/>
          <w:numId w:val="1"/>
        </w:numPr>
        <w:tabs>
          <w:tab w:val="clear" w:pos="720"/>
          <w:tab w:val="left" w:pos="2160"/>
        </w:tabs>
        <w:spacing w:before="402" w:after="0" w:line="405" w:lineRule="exact"/>
        <w:ind w:right="0" w:left="216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8"/>
          <w:u w:val="single"/>
          <w:vertAlign w:val="baseline"/>
          <w:lang w:val="en-US"/>
        </w:rPr>
        <w:t xml:space="preserve">date</w:t>
      </w:r>
      <w:r>
        <w:rPr>
          <w:rFonts w:ascii="Arial" w:hAnsi="Arial" w:eastAsia="Arial"/>
          <w:color w:val="000000"/>
          <w:spacing w:val="0"/>
          <w:w w:val="100"/>
          <w:sz w:val="28"/>
          <w:vertAlign w:val="baseline"/>
          <w:lang w:val="en-US"/>
        </w:rPr>
        <w:t xml:space="preserve">), in the County of (</w:t>
      </w:r>
      <w:r>
        <w:rPr>
          <w:rFonts w:ascii="Arial" w:hAnsi="Arial" w:eastAsia="Arial"/>
          <w:i w:val="true"/>
          <w:color w:val="000000"/>
          <w:spacing w:val="0"/>
          <w:w w:val="100"/>
          <w:sz w:val="28"/>
          <w:u w:val="single"/>
          <w:vertAlign w:val="baseline"/>
          <w:lang w:val="en-US"/>
        </w:rPr>
        <w:t xml:space="preserve">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8"/>
          <w:u w:val="single"/>
          <w:vertAlign w:val="baseline"/>
          <w:lang w:val="en-US"/>
        </w:rPr>
        <w:t xml:space="preserve">defendant’s name</w:t>
      </w:r>
      <w:r>
        <w:rPr>
          <w:rFonts w:ascii="Arial" w:hAnsi="Arial" w:eastAsia="Arial"/>
          <w:color w:val="000000"/>
          <w:spacing w:val="0"/>
          <w:w w:val="100"/>
          <w:sz w:val="28"/>
          <w:vertAlign w:val="baseline"/>
          <w:lang w:val="en-US"/>
        </w:rPr>
        <w:t xml:space="preserve">), was released from confinement in</w:t>
      </w:r>
    </w:p>
    <w:p>
      <w:pPr>
        <w:pageBreakBefore w:val="false"/>
        <w:spacing w:before="412" w:after="0" w:line="399" w:lineRule="exact"/>
        <w:ind w:right="0" w:left="288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appropriate alternative:  </w:t>
      </w:r>
      <w:r>
        <w:rPr>
          <w:rFonts w:ascii="Arial" w:hAnsi="Arial" w:eastAsia="Arial"/>
          <w:color w:val="000000"/>
          <w:spacing w:val="0"/>
          <w:w w:val="100"/>
          <w:sz w:val="28"/>
          <w:vertAlign w:val="baseline"/>
          <w:lang w:val="en-US"/>
        </w:rPr>
        <w:t xml:space="preserve">correctional institution</w:t>
      </w:r>
    </w:p>
    <w:p>
      <w:pPr>
        <w:pageBreakBefore w:val="false"/>
        <w:spacing w:before="10" w:after="0" w:line="398" w:lineRule="exact"/>
        <w:ind w:right="0" w:left="2880" w:firstLine="0"/>
        <w:jc w:val="left"/>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state office of children and family services facility</w:t>
      </w:r>
    </w:p>
    <w:p>
      <w:pPr>
        <w:pageBreakBefore w:val="false"/>
        <w:tabs>
          <w:tab w:val="left" w:leader="none" w:pos="2160"/>
        </w:tabs>
        <w:spacing w:before="493" w:after="0" w:line="318" w:lineRule="exact"/>
        <w:ind w:right="0" w:left="0" w:firstLine="0"/>
        <w:jc w:val="left"/>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t	</w:t>
      </w:r>
      <w:r>
        <w:rPr>
          <w:rFonts w:ascii="Arial" w:hAnsi="Arial" w:eastAsia="Arial"/>
          <w:color w:val="000000"/>
          <w:spacing w:val="-4"/>
          <w:w w:val="100"/>
          <w:sz w:val="28"/>
          <w:vertAlign w:val="baseline"/>
          <w:lang w:val="en-US"/>
        </w:rPr>
        <w:t xml:space="preserve">to participate in a program of work release; and</w:t>
      </w:r>
    </w:p>
    <w:p>
      <w:pPr>
        <w:pageBreakBefore w:val="false"/>
        <w:numPr>
          <w:ilvl w:val="0"/>
          <w:numId w:val="1"/>
        </w:numPr>
        <w:tabs>
          <w:tab w:val="clear" w:pos="720"/>
          <w:tab w:val="left" w:pos="2160"/>
        </w:tabs>
        <w:spacing w:before="409" w:after="0" w:line="403" w:lineRule="exact"/>
        <w:ind w:right="0" w:left="216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intentionally failed to return to that institution [facility] at or before the time prescribed for his/her return.</w:t>
      </w:r>
    </w:p>
    <w:p>
      <w:pPr>
        <w:pageBreakBefore w:val="false"/>
        <w:spacing w:before="398" w:after="403" w:line="408" w:lineRule="exact"/>
        <w:ind w:right="0" w:left="0" w:firstLine="72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If you find the People have proven beyond a reasonable doubt both of those elements, you must find the defendant guilty</w:t>
      </w:r>
    </w:p>
    <w:p>
      <w:pPr>
        <w:pageBreakBefore w:val="false"/>
        <w:spacing w:before="257" w:after="0" w:line="299" w:lineRule="exact"/>
        <w:ind w:right="0" w:left="720" w:firstLine="0"/>
        <w:jc w:val="left"/>
        <w:textAlignment w:val="baseline"/>
        <w:rPr>
          <w:rFonts w:ascii="Arial" w:hAnsi="Arial" w:eastAsia="Arial"/>
          <w:color w:val="000000"/>
          <w:spacing w:val="0"/>
          <w:w w:val="100"/>
          <w:sz w:val="16"/>
          <w:vertAlign w:val="superscript"/>
          <w:lang w:val="en-US"/>
        </w:rPr>
      </w:pPr>
      <w:r>
        <w:pict>
          <v:line strokeweight="0.95pt" strokecolor="#000000" from="107.85pt,657.35pt" to="252.05pt,657.35pt" style="position:absolute;mso-position-horizontal-relative:page;mso-position-vertical-relative:page;">
            <v:stroke dashstyle="solid"/>
          </v:line>
        </w:pict>
      </w:r>
      <w:r>
        <w:rPr>
          <w:rFonts w:ascii="Arial" w:hAnsi="Arial" w:eastAsia="Arial"/>
          <w:color w:val="000000"/>
          <w:spacing w:val="0"/>
          <w:w w:val="100"/>
          <w:sz w:val="16"/>
          <w:vertAlign w:val="superscript"/>
          <w:lang w:val="en-US"/>
        </w:rPr>
        <w:t xml:space="preserve">2</w:t>
      </w:r>
      <w:r>
        <w:rPr>
          <w:rFonts w:ascii="Arial" w:hAnsi="Arial" w:eastAsia="Arial"/>
          <w:color w:val="000000"/>
          <w:spacing w:val="0"/>
          <w:w w:val="100"/>
          <w:sz w:val="26"/>
          <w:vertAlign w:val="baseline"/>
          <w:lang w:val="en-US"/>
        </w:rPr>
        <w:t xml:space="preserve"> Correction Law § 851 (3)</w:t>
      </w:r>
    </w:p>
    <w:p>
      <w:pPr>
        <w:pageBreakBefore w:val="false"/>
        <w:spacing w:before="239" w:after="0" w:line="299" w:lineRule="exact"/>
        <w:ind w:right="0" w:left="72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3</w:t>
      </w:r>
      <w:r>
        <w:rPr>
          <w:rFonts w:ascii="Arial" w:hAnsi="Arial" w:eastAsia="Arial"/>
          <w:i w:val="true"/>
          <w:color w:val="000000"/>
          <w:spacing w:val="0"/>
          <w:w w:val="100"/>
          <w:sz w:val="26"/>
          <w:vertAlign w:val="baseline"/>
          <w:lang w:val="en-US"/>
        </w:rPr>
        <w:t xml:space="preserve"> See </w:t>
      </w:r>
      <w:r>
        <w:rPr>
          <w:rFonts w:ascii="Arial" w:hAnsi="Arial" w:eastAsia="Arial"/>
          <w:color w:val="000000"/>
          <w:spacing w:val="0"/>
          <w:w w:val="100"/>
          <w:sz w:val="26"/>
          <w:vertAlign w:val="baseline"/>
          <w:lang w:val="en-US"/>
        </w:rPr>
        <w:t xml:space="preserve">Penal Law § 15.05 (1)</w:t>
      </w:r>
    </w:p>
    <w:p>
      <w:pPr>
        <w:pageBreakBefore w:val="false"/>
        <w:spacing w:before="244" w:after="0" w:line="299"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p>
      <w:pPr>
        <w:sectPr>
          <w:type w:val="nextPage"/>
          <w:pgSz w:w="12240" w:h="15840" w:orient="portrait"/>
          <w:pgMar w:bottom="664" w:top="1040" w:right="2143" w:left="2157" w:header="720" w:footer="720"/>
          <w:titlePg w:val="false"/>
          <w:textDirection w:val="lrTb"/>
        </w:sectPr>
      </w:pPr>
    </w:p>
    <w:p>
      <w:pPr>
        <w:pageBreakBefore w:val="false"/>
        <w:spacing w:before="8" w:after="0" w:line="319"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of this crime.</w:t>
      </w:r>
    </w:p>
    <w:p>
      <w:pPr>
        <w:pageBreakBefore w:val="false"/>
        <w:spacing w:before="405" w:after="11442" w:line="406"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p>
      <w:pPr>
        <w:spacing w:before="405" w:after="11442" w:line="406" w:lineRule="exact"/>
        <w:sectPr>
          <w:type w:val="nextPage"/>
          <w:pgSz w:w="12240" w:h="15840" w:orient="portrait"/>
          <w:pgMar w:bottom="664" w:top="1080" w:right="2147" w:left="2153" w:header="720" w:footer="720"/>
          <w:titlePg w:val="false"/>
          <w:textDirection w:val="lrTb"/>
        </w:sectPr>
      </w:pPr>
    </w:p>
    <w:p>
      <w:pPr>
        <w:pageBreakBefore w:val="false"/>
        <w:spacing w:before="0" w:after="0" w:line="288"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3</w:t>
      </w:r>
    </w:p>
    <w:sectPr>
      <w:type w:val="continuous"/>
      <w:pgSz w:w="12240" w:h="15840" w:orient="portrait"/>
      <w:pgMar w:bottom="664" w:top="1080" w:right="2147" w:left="2153"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