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SECOND DEGREE</w:t>
        <w:br/>
      </w:r>
      <w:r>
        <w:rPr>
          <w:rFonts w:ascii="Arial" w:hAnsi="Arial" w:eastAsia="Arial"/>
          <w:b w:val="true"/>
          <w:strike w:val="false"/>
          <w:color w:val="000000"/>
          <w:spacing w:val="0"/>
          <w:w w:val="100"/>
          <w:sz w:val="28"/>
          <w:vertAlign w:val="baseline"/>
          <w:lang w:val="en-US"/>
        </w:rPr>
        <w:t xml:space="preserve">(Conduct close to courthouse)</w:t>
        <w:br/>
      </w:r>
      <w:r>
        <w:rPr>
          <w:rFonts w:ascii="Arial" w:hAnsi="Arial" w:eastAsia="Arial"/>
          <w:b w:val="true"/>
          <w:strike w:val="false"/>
          <w:color w:val="000000"/>
          <w:spacing w:val="0"/>
          <w:w w:val="100"/>
          <w:sz w:val="28"/>
          <w:vertAlign w:val="baseline"/>
          <w:lang w:val="en-US"/>
        </w:rPr>
        <w:t xml:space="preserve">Penal Law § 215.50(7)</w:t>
        <w:br/>
      </w:r>
      <w:r>
        <w:rPr>
          <w:rFonts w:ascii="Arial" w:hAnsi="Arial" w:eastAsia="Arial"/>
          <w:b w:val="true"/>
          <w:strike w:val="false"/>
          <w:color w:val="000000"/>
          <w:spacing w:val="0"/>
          <w:w w:val="100"/>
          <w:sz w:val="28"/>
          <w:vertAlign w:val="baseline"/>
          <w:lang w:val="en-US"/>
        </w:rPr>
        <w:t xml:space="preserve">(Committed on or after Sept. 1, 1972)</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criminal contempt in the second degree when he or she engages in the following conduct: on or along a public street or sidewalk within a radius of two hundred feet of any building established as a courthouse, he calls aloud, shouts, holds or displays placards or signs containing written or printed matter, concerning the conduct of a trial being held in such courthouse or the character of the court or jury engaged in such trial or calling for or demanding any specified action or determination by such court or jury in connection with such trial.</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element:</w:t>
      </w:r>
    </w:p>
    <w:p>
      <w:pPr>
        <w:pageBreakBefore w:val="false"/>
        <w:spacing w:before="327"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on or along a public street or sidewalk within a radius of two hundred feet of any building established as a courthouse,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called aloud, shouted, held or displayed placards or signs containing written or printed matter, concerning the conduct of a trial being held in such courthouse or the character of the court or jury engaged in such trial or calling for or demanding any specified action or determination by such court or jury in connection with such trial.</w:t>
      </w:r>
    </w:p>
    <w:p>
      <w:pPr>
        <w:pageBreakBefore w:val="false"/>
        <w:spacing w:before="321"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proven that element beyond a reasonable doubt, you must find the defendant guilty of this crime.</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that element beyond a reasonable doubt, you must find the defendant not guilty of this crime.</w:t>
      </w:r>
    </w:p>
    <w:sectPr>
      <w:type w:val="nextPage"/>
      <w:pgSz w:w="12240" w:h="15840" w:orient="portrait"/>
      <w:pgMar w:bottom="13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