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w:t>
        <w:br/>
      </w:r>
      <w:r>
        <w:rPr>
          <w:rFonts w:ascii="Arial" w:hAnsi="Arial" w:eastAsia="Arial"/>
          <w:b w:val="true"/>
          <w:strike w:val="false"/>
          <w:color w:val="000000"/>
          <w:spacing w:val="0"/>
          <w:w w:val="100"/>
          <w:sz w:val="28"/>
          <w:vertAlign w:val="baseline"/>
          <w:lang w:val="en-US"/>
        </w:rPr>
        <w:t xml:space="preserve">Intentional Damage to Property;</w:t>
        <w:br/>
      </w:r>
      <w:r>
        <w:rPr>
          <w:rFonts w:ascii="Arial" w:hAnsi="Arial" w:eastAsia="Arial"/>
          <w:b w:val="true"/>
          <w:strike w:val="false"/>
          <w:color w:val="000000"/>
          <w:spacing w:val="0"/>
          <w:w w:val="100"/>
          <w:sz w:val="28"/>
          <w:vertAlign w:val="baseline"/>
          <w:lang w:val="en-US"/>
        </w:rPr>
        <w:t xml:space="preserve">Damage More Than $250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215.51(d)</w:t>
        <w:br/>
      </w:r>
      <w:r>
        <w:rPr>
          <w:rFonts w:ascii="Arial" w:hAnsi="Arial" w:eastAsia="Arial"/>
          <w:b w:val="true"/>
          <w:strike w:val="false"/>
          <w:color w:val="000000"/>
          <w:spacing w:val="0"/>
          <w:w w:val="100"/>
          <w:sz w:val="28"/>
          <w:vertAlign w:val="baseline"/>
          <w:lang w:val="en-US"/>
        </w:rPr>
        <w:t xml:space="preserve">(Committed on or after Jan. 1, 1995)</w:t>
      </w:r>
    </w:p>
    <w:p>
      <w:pPr>
        <w:pageBreakBefore w:val="false"/>
        <w:spacing w:before="64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counts is Criminal Contempt in the First Degree.</w:t>
      </w:r>
    </w:p>
    <w:p>
      <w:pPr>
        <w:pageBreakBefore w:val="false"/>
        <w:spacing w:before="33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Contempt in the First Degree when, in violation of a duly served order of protection, or such order of which the defendant has actual knowledge because he or she was present in court when such order was issued, he or she intentionally damages the property of the person for whose protection such order was issued in an amount exceeding two hundred fifty dollars ($250).</w:t>
      </w:r>
    </w:p>
    <w:p>
      <w:pPr>
        <w:pageBreakBefore w:val="false"/>
        <w:spacing w:before="32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24"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defendant INTENTIONALLY damages property of a person for whose protection an order was issued when that defendant's conscious objective or purpose is to do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9"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amount of damage to property is determined by the cost of repair or the replacement value, whichever is less.</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0" w:after="412"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spacing w:before="14" w:after="0" w:line="518"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14.4pt" to="252.05pt,614.4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145.00(1).</w:t>
        <w:br/>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pageBreakBefore w:val="false"/>
        <w:spacing w:before="241" w:after="0" w:line="279" w:lineRule="exact"/>
        <w:ind w:right="216"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People v. Woodward</w:t>
      </w:r>
      <w:r>
        <w:rPr>
          <w:rFonts w:ascii="Arial" w:hAnsi="Arial" w:eastAsia="Arial"/>
          <w:strike w:val="false"/>
          <w:color w:val="000000"/>
          <w:spacing w:val="0"/>
          <w:w w:val="100"/>
          <w:sz w:val="24"/>
          <w:vertAlign w:val="baseline"/>
          <w:lang w:val="en-US"/>
        </w:rPr>
        <w:t xml:space="preserve">, 148 AD2d 997 (4th Dept. 1989); </w:t>
      </w:r>
      <w:r>
        <w:rPr>
          <w:rFonts w:ascii="Arial" w:hAnsi="Arial" w:eastAsia="Arial"/>
          <w:i w:val="true"/>
          <w:strike w:val="false"/>
          <w:color w:val="000000"/>
          <w:spacing w:val="0"/>
          <w:w w:val="100"/>
          <w:sz w:val="24"/>
          <w:vertAlign w:val="baseline"/>
          <w:lang w:val="en-US"/>
        </w:rPr>
        <w:t xml:space="preserve">People v. Gina</w:t>
      </w:r>
      <w:r>
        <w:rPr>
          <w:rFonts w:ascii="Arial" w:hAnsi="Arial" w:eastAsia="Arial"/>
          <w:strike w:val="false"/>
          <w:color w:val="000000"/>
          <w:spacing w:val="0"/>
          <w:w w:val="100"/>
          <w:sz w:val="24"/>
          <w:vertAlign w:val="baseline"/>
          <w:lang w:val="en-US"/>
        </w:rPr>
        <w:t xml:space="preserve">, 137 AD2d 555 (2d Dept. 1988); </w:t>
      </w:r>
      <w:r>
        <w:rPr>
          <w:rFonts w:ascii="Arial" w:hAnsi="Arial" w:eastAsia="Arial"/>
          <w:i w:val="true"/>
          <w:strike w:val="false"/>
          <w:color w:val="000000"/>
          <w:spacing w:val="0"/>
          <w:w w:val="100"/>
          <w:sz w:val="24"/>
          <w:vertAlign w:val="baseline"/>
          <w:lang w:val="en-US"/>
        </w:rPr>
        <w:t xml:space="preserve">People v. Simpson</w:t>
      </w:r>
      <w:r>
        <w:rPr>
          <w:rFonts w:ascii="Arial" w:hAnsi="Arial" w:eastAsia="Arial"/>
          <w:strike w:val="false"/>
          <w:color w:val="000000"/>
          <w:spacing w:val="0"/>
          <w:w w:val="100"/>
          <w:sz w:val="24"/>
          <w:vertAlign w:val="baseline"/>
          <w:lang w:val="en-US"/>
        </w:rPr>
        <w:t xml:space="preserve">, 132 AD2d 894 (3d Dept. 1987).</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1"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30"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2" w:after="0" w:line="324" w:lineRule="exact"/>
        <w:ind w:right="0" w:left="1440" w:hanging="72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That on or about </w:t>
      </w:r>
      <w:r>
        <w:rPr>
          <w:rFonts w:ascii="Arial" w:hAnsi="Arial" w:eastAsia="Arial"/>
          <w:i w:val="true"/>
          <w:strike w:val="false"/>
          <w:color w:val="000000"/>
          <w:spacing w:val="-6"/>
          <w:w w:val="100"/>
          <w:sz w:val="28"/>
          <w:u w:val="single"/>
          <w:vertAlign w:val="baseline"/>
          <w:lang w:val="en-US"/>
        </w:rPr>
        <w:t xml:space="preserve"> (date) </w:t>
      </w:r>
      <w:r>
        <w:rPr>
          <w:rFonts w:ascii="Arial" w:hAnsi="Arial" w:eastAsia="Arial"/>
          <w:strike w:val="false"/>
          <w:color w:val="000000"/>
          <w:spacing w:val="-6"/>
          <w:w w:val="100"/>
          <w:sz w:val="28"/>
          <w:vertAlign w:val="baseline"/>
          <w:lang w:val="en-US"/>
        </w:rPr>
        <w:t xml:space="preserve"> , in the County of </w:t>
      </w:r>
      <w:r>
        <w:rPr>
          <w:rFonts w:ascii="Arial" w:hAnsi="Arial" w:eastAsia="Arial"/>
          <w:i w:val="true"/>
          <w:strike w:val="false"/>
          <w:color w:val="000000"/>
          <w:spacing w:val="-6"/>
          <w:w w:val="100"/>
          <w:sz w:val="28"/>
          <w:u w:val="single"/>
          <w:vertAlign w:val="baseline"/>
          <w:lang w:val="en-US"/>
        </w:rPr>
        <w:t xml:space="preserve"> (county)</w:t>
      </w:r>
      <w:r>
        <w:rPr>
          <w:rFonts w:ascii="Arial" w:hAnsi="Arial" w:eastAsia="Arial"/>
          <w:strike w:val="false"/>
          <w:color w:val="000000"/>
          <w:spacing w:val="-6"/>
          <w:w w:val="100"/>
          <w:sz w:val="28"/>
          <w:u w:val="single"/>
          <w:vertAlign w:val="baseline"/>
          <w:lang w:val="en-US"/>
        </w:rPr>
        <w:t xml:space="preserve">,</w:t>
      </w:r>
      <w:r>
        <w:rPr>
          <w:rFonts w:ascii="Arial" w:hAnsi="Arial" w:eastAsia="Arial"/>
          <w:strike w:val="false"/>
          <w:color w:val="000000"/>
          <w:spacing w:val="-6"/>
          <w:w w:val="100"/>
          <w:sz w:val="28"/>
          <w:vertAlign w:val="baseline"/>
          <w:lang w:val="en-US"/>
        </w:rPr>
        <w:t xml:space="preserve"> the defendant, </w:t>
      </w:r>
      <w:r>
        <w:rPr>
          <w:rFonts w:ascii="Arial" w:hAnsi="Arial" w:eastAsia="Arial"/>
          <w:i w:val="true"/>
          <w:strike w:val="false"/>
          <w:color w:val="000000"/>
          <w:spacing w:val="-6"/>
          <w:w w:val="100"/>
          <w:sz w:val="28"/>
          <w:u w:val="single"/>
          <w:vertAlign w:val="baseline"/>
          <w:lang w:val="en-US"/>
        </w:rPr>
        <w:t xml:space="preserve"> (defendant's name)</w:t>
      </w:r>
      <w:r>
        <w:rPr>
          <w:rFonts w:ascii="Arial" w:hAnsi="Arial" w:eastAsia="Arial"/>
          <w:strike w:val="false"/>
          <w:color w:val="000000"/>
          <w:spacing w:val="-6"/>
          <w:w w:val="100"/>
          <w:sz w:val="28"/>
          <w:u w:val="single"/>
          <w:vertAlign w:val="baseline"/>
          <w:lang w:val="en-US"/>
        </w:rPr>
        <w:t xml:space="preserve">,</w:t>
      </w:r>
      <w:r>
        <w:rPr>
          <w:rFonts w:ascii="Arial" w:hAnsi="Arial" w:eastAsia="Arial"/>
          <w:strike w:val="false"/>
          <w:color w:val="000000"/>
          <w:spacing w:val="-6"/>
          <w:w w:val="100"/>
          <w:sz w:val="28"/>
          <w:vertAlign w:val="baseline"/>
          <w:lang w:val="en-US"/>
        </w:rPr>
        <w:t xml:space="preserve"> in violation of the order, damaged the property of </w:t>
      </w:r>
      <w:r>
        <w:rPr>
          <w:rFonts w:ascii="Arial" w:hAnsi="Arial" w:eastAsia="Arial"/>
          <w:i w:val="true"/>
          <w:strike w:val="false"/>
          <w:color w:val="000000"/>
          <w:spacing w:val="-6"/>
          <w:w w:val="100"/>
          <w:sz w:val="28"/>
          <w:u w:val="single"/>
          <w:vertAlign w:val="baseline"/>
          <w:lang w:val="en-US"/>
        </w:rPr>
        <w:t xml:space="preserve"> (specify)</w:t>
      </w:r>
      <w:r>
        <w:rPr>
          <w:rFonts w:ascii="Arial" w:hAnsi="Arial" w:eastAsia="Arial"/>
          <w:strike w:val="false"/>
          <w:color w:val="000000"/>
          <w:spacing w:val="-6"/>
          <w:w w:val="100"/>
          <w:sz w:val="28"/>
          <w:vertAlign w:val="baseline"/>
          <w:lang w:val="en-US"/>
        </w:rPr>
        <w:t xml:space="preserve"> in an amount exceeding two hundred fifty dollars ($250); and</w:t>
      </w:r>
    </w:p>
    <w:p>
      <w:pPr>
        <w:pageBreakBefore w:val="false"/>
        <w:numPr>
          <w:ilvl w:val="0"/>
          <w:numId w:val="1"/>
        </w:numPr>
        <w:tabs>
          <w:tab w:val="clear" w:pos="720"/>
          <w:tab w:val="left" w:pos="1440"/>
        </w:tabs>
        <w:spacing w:before="326"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5228"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5228" w:line="326" w:lineRule="exact"/>
        <w:sectPr>
          <w:type w:val="nextPage"/>
          <w:pgSz w:w="12240" w:h="15840" w:orient="portrait"/>
          <w:pgMar w:bottom="1024" w:top="1440" w:right="2138" w:left="2162" w:header="720" w:footer="720"/>
          <w:titlePg w:val="false"/>
          <w:textDirection w:val="lrTb"/>
        </w:sectPr>
      </w:pPr>
    </w:p>
    <w:p>
      <w:pPr>
        <w:pageBreakBefore w:val="false"/>
        <w:spacing w:before="0" w:after="0" w:line="265"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