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FIFTH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 to Sell)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220.06 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1979)</w:t>
      </w:r>
    </w:p>
    <w:p>
      <w:pPr>
        <w:pageBreakBefore w:val="false"/>
        <w:spacing w:before="32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Fifth Degree.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Fifth Degree when that person knowingly and unlawfully possesses a controlled substance with the intent to sell it.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1" w:after="0" w:line="319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The term CONTROLLED SUBSTANCE includes </w:t>
      </w:r>
      <w:r>
        <w:rPr>
          <w:rFonts w:ascii="Arial" w:hAnsi="Arial" w:eastAsia="Arial"/>
          <w:i w:val="true"/>
          <w:color w:val="000000"/>
          <w:spacing w:val="-3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3"/>
          <w:w w:val="100"/>
          <w:sz w:val="16"/>
          <w:vertAlign w:val="baseline"/>
          <w:lang w:val="en-US"/>
        </w:rPr>
        <w:t xml:space="preserve">1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3</w:t>
      </w:r>
    </w:p>
    <w:p>
      <w:pPr>
        <w:pageBreakBefore w:val="false"/>
        <w:spacing w:before="321" w:after="325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254" w:after="0" w:line="27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561.1pt" to="252.05pt,561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(5).</w:t>
      </w:r>
    </w:p>
    <w:p>
      <w:pPr>
        <w:pageBreakBefore w:val="false"/>
        <w:spacing w:before="246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-4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4"/>
          <w:w w:val="100"/>
          <w:sz w:val="24"/>
          <w:vertAlign w:val="baseline"/>
          <w:lang w:val="en-US"/>
        </w:rPr>
        <w:t xml:space="preserve">Penal Law § 10.00 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38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 (2). An expanded definition of “knowingly” is available in the General Charges section under Culpable Mental States.</w:t>
      </w:r>
    </w:p>
    <w:p>
      <w:pPr>
        <w:pageBreakBefore w:val="false"/>
        <w:spacing w:before="238" w:after="0" w:line="27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(2) and Public Health Law § 3396 (1).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9" w:after="0" w:line="31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SELL means to sell, exchange, give or dispose of to another.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4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intent to sell it when his or her conscious objective or purpose is to sell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6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possessed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with the intent to sell it.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2393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73" w:after="0" w:line="28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65pt,630pt" to="252.05pt,630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(1). 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People v Samuels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99 NY2d 20 (2002).</w:t>
      </w:r>
    </w:p>
    <w:p>
      <w:pPr>
        <w:pageBreakBefore w:val="false"/>
        <w:spacing w:before="228" w:after="251" w:line="28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pageBreakBefore w:val="false"/>
        <w:spacing w:before="0" w:after="0" w:line="21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