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2"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CRIMINAL SALE OF A CONTROLLED SUBSTANCE</w:t>
        <w:br/>
      </w:r>
      <w:r>
        <w:rPr>
          <w:rFonts w:ascii="Arial" w:hAnsi="Arial" w:eastAsia="Arial"/>
          <w:b w:val="true"/>
          <w:color w:val="000000"/>
          <w:spacing w:val="0"/>
          <w:w w:val="100"/>
          <w:sz w:val="28"/>
          <w:vertAlign w:val="baseline"/>
          <w:lang w:val="en-US"/>
        </w:rPr>
        <w:t xml:space="preserve">IN THE FOURTH DEGREE</w:t>
        <w:br/>
      </w:r>
      <w:r>
        <w:rPr>
          <w:rFonts w:ascii="Arial" w:hAnsi="Arial" w:eastAsia="Arial"/>
          <w:b w:val="true"/>
          <w:color w:val="000000"/>
          <w:spacing w:val="0"/>
          <w:w w:val="100"/>
          <w:sz w:val="28"/>
          <w:vertAlign w:val="baseline"/>
          <w:lang w:val="en-US"/>
        </w:rPr>
        <w:t xml:space="preserve">Penal Law § 220.34(6)</w:t>
        <w:br/>
      </w:r>
      <w:r>
        <w:rPr>
          <w:rFonts w:ascii="Arial" w:hAnsi="Arial" w:eastAsia="Arial"/>
          <w:b w:val="true"/>
          <w:color w:val="000000"/>
          <w:spacing w:val="0"/>
          <w:w w:val="100"/>
          <w:sz w:val="28"/>
          <w:vertAlign w:val="baseline"/>
          <w:lang w:val="en-US"/>
        </w:rPr>
        <w:t xml:space="preserve">(Phencyclidine - Prior Conviction)</w:t>
        <w:br/>
      </w:r>
      <w:r>
        <w:rPr>
          <w:rFonts w:ascii="Arial" w:hAnsi="Arial" w:eastAsia="Arial"/>
          <w:b w:val="true"/>
          <w:color w:val="000000"/>
          <w:spacing w:val="0"/>
          <w:w w:val="100"/>
          <w:sz w:val="28"/>
          <w:vertAlign w:val="baseline"/>
          <w:lang w:val="en-US"/>
        </w:rPr>
        <w:t xml:space="preserve">(Committed on or after Nov. 1, 1985)</w:t>
        <w:br/>
      </w:r>
      <w:r>
        <w:rPr>
          <w:rFonts w:ascii="Arial" w:hAnsi="Arial" w:eastAsia="Arial"/>
          <w:b w:val="true"/>
          <w:color w:val="000000"/>
          <w:spacing w:val="0"/>
          <w:w w:val="100"/>
          <w:sz w:val="28"/>
          <w:vertAlign w:val="baseline"/>
          <w:lang w:val="en-US"/>
        </w:rPr>
        <w:t xml:space="preserve">(Revised April 4, 2003)</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31"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Criminal Sale of a Controlled Substance in the Fourth Degree.</w:t>
      </w:r>
    </w:p>
    <w:p>
      <w:pPr>
        <w:pageBreakBefore w:val="false"/>
        <w:spacing w:before="321"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Criminal Sale of a Controlled Substance in the Fourth Degree when that person knowingly and unlawfully sells any amount of phencyclidine.</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25"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1"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SELL means to sell, exchange, give or dispose of to another.</w:t>
      </w:r>
    </w:p>
    <w:p>
      <w:pPr>
        <w:pageBreakBefore w:val="false"/>
        <w:spacing w:before="0" w:after="742"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[Sell also includes an offer or agreement to sell even if actual delivery does not occur, provided that, at the time of the offer or agreement, the person has the intent and ability to make the sale. An intent is a conscious objective or purpose. Thus, a person acts with intent to sell when that person's conscious objective or purpose is to sell.]</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256" w:after="0" w:line="276" w:lineRule="exact"/>
        <w:ind w:right="0" w:left="0" w:firstLine="0"/>
        <w:jc w:val="both"/>
        <w:textAlignment w:val="baseline"/>
        <w:rPr>
          <w:rFonts w:ascii="Arial" w:hAnsi="Arial" w:eastAsia="Arial"/>
          <w:color w:val="000000"/>
          <w:spacing w:val="0"/>
          <w:w w:val="100"/>
          <w:sz w:val="14"/>
          <w:vertAlign w:val="superscript"/>
          <w:lang w:val="en-US"/>
        </w:rPr>
      </w:pPr>
      <w:r>
        <w:pict>
          <v:line strokeweight="0.95pt" strokecolor="#000000" from="108pt,517.2pt" to="252.05pt,517.2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The revision was for the purpose of re-defining the term “sale” as it applied to an offer or agreement to sell.</w:t>
      </w:r>
    </w:p>
    <w:p>
      <w:pPr>
        <w:pageBreakBefore w:val="false"/>
        <w:spacing w:before="244" w:after="0" w:line="276"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An additional element of this crime is that the defendant “has previously been convicted of an offense defined in this article or the attempt or conspiracy to commit any such offense.” Prior to trial, the defendant must be arraigned upon a special information alleging the previous conviction. If, upon such arraignment, the defendant admits the previous conviction, the court may not make any reference to it in the definition of the crime. But if the defendant denies the previous conviction or remains mute, the court must add the following to the definition of the crime: “and has previously been convicted of </w:t>
      </w:r>
      <w:r>
        <w:rPr>
          <w:rFonts w:ascii="Arial" w:hAnsi="Arial" w:eastAsia="Arial"/>
          <w:i w:val="true"/>
          <w:color w:val="000000"/>
          <w:spacing w:val="0"/>
          <w:w w:val="100"/>
          <w:sz w:val="19"/>
          <w:u w:val="single"/>
          <w:vertAlign w:val="baseline"/>
          <w:lang w:val="en-US"/>
        </w:rPr>
        <w:t xml:space="preserve"> (specify)</w:t>
      </w:r>
      <w:r>
        <w:rPr>
          <w:rFonts w:ascii="Arial" w:hAnsi="Arial" w:eastAsia="Arial"/>
          <w:color w:val="000000"/>
          <w:spacing w:val="0"/>
          <w:w w:val="100"/>
          <w:sz w:val="24"/>
          <w:vertAlign w:val="baseline"/>
          <w:lang w:val="en-US"/>
        </w:rPr>
        <w:t xml:space="preserve">.”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CPL 200.60(3).</w:t>
      </w:r>
    </w:p>
    <w:p>
      <w:pPr>
        <w:pageBreakBefore w:val="false"/>
        <w:spacing w:before="264" w:after="0" w:line="276" w:lineRule="exact"/>
        <w:ind w:right="0" w:left="0" w:firstLine="0"/>
        <w:jc w:val="both"/>
        <w:textAlignment w:val="baseline"/>
        <w:rPr>
          <w:rFonts w:ascii="Arial" w:hAnsi="Arial" w:eastAsia="Arial"/>
          <w:color w:val="000000"/>
          <w:spacing w:val="-2"/>
          <w:w w:val="100"/>
          <w:sz w:val="14"/>
          <w:vertAlign w:val="superscript"/>
          <w:lang w:val="en-US"/>
        </w:rPr>
      </w:pPr>
      <w:r>
        <w:rPr>
          <w:rFonts w:ascii="Arial" w:hAnsi="Arial" w:eastAsia="Arial"/>
          <w:color w:val="000000"/>
          <w:spacing w:val="-2"/>
          <w:w w:val="100"/>
          <w:sz w:val="14"/>
          <w:vertAlign w:val="superscript"/>
          <w:lang w:val="en-US"/>
        </w:rPr>
        <w:t xml:space="preserve">3</w:t>
      </w:r>
      <w:r>
        <w:rPr>
          <w:rFonts w:ascii="Arial" w:hAnsi="Arial" w:eastAsia="Arial"/>
          <w:i w:val="true"/>
          <w:color w:val="000000"/>
          <w:spacing w:val="-2"/>
          <w:w w:val="100"/>
          <w:sz w:val="26"/>
          <w:vertAlign w:val="baseline"/>
          <w:lang w:val="en-US"/>
        </w:rPr>
        <w:t xml:space="preserve"> See </w:t>
      </w:r>
      <w:r>
        <w:rPr>
          <w:rFonts w:ascii="Arial" w:hAnsi="Arial" w:eastAsia="Arial"/>
          <w:color w:val="000000"/>
          <w:spacing w:val="-2"/>
          <w:w w:val="100"/>
          <w:sz w:val="26"/>
          <w:vertAlign w:val="baseline"/>
          <w:lang w:val="en-US"/>
        </w:rPr>
        <w:t xml:space="preserve">Penal Law § 220.00(1); </w:t>
      </w:r>
      <w:r>
        <w:rPr>
          <w:rFonts w:ascii="Arial" w:hAnsi="Arial" w:eastAsia="Arial"/>
          <w:i w:val="true"/>
          <w:color w:val="000000"/>
          <w:spacing w:val="-2"/>
          <w:w w:val="100"/>
          <w:sz w:val="26"/>
          <w:vertAlign w:val="baseline"/>
          <w:lang w:val="en-US"/>
        </w:rPr>
        <w:t xml:space="preserve">People v. Samuels</w:t>
      </w:r>
      <w:r>
        <w:rPr>
          <w:rFonts w:ascii="Arial" w:hAnsi="Arial" w:eastAsia="Arial"/>
          <w:color w:val="000000"/>
          <w:spacing w:val="-2"/>
          <w:w w:val="100"/>
          <w:sz w:val="26"/>
          <w:vertAlign w:val="baseline"/>
          <w:lang w:val="en-US"/>
        </w:rPr>
        <w:t xml:space="preserve">, </w:t>
      </w:r>
      <w:r>
        <w:rPr>
          <w:rFonts w:ascii="Arial" w:hAnsi="Arial" w:eastAsia="Arial"/>
          <w:color w:val="000000"/>
          <w:spacing w:val="-2"/>
          <w:w w:val="100"/>
          <w:sz w:val="24"/>
          <w:vertAlign w:val="baseline"/>
          <w:lang w:val="en-US"/>
        </w:rPr>
        <w:t xml:space="preserve">90 N.Y.2d 20 (2002).</w:t>
      </w:r>
    </w:p>
    <w:p>
      <w:pPr>
        <w:sectPr>
          <w:type w:val="nextPage"/>
          <w:pgSz w:w="12240" w:h="15840" w:orient="portrait"/>
          <w:pgMar w:bottom="984" w:top="1440" w:right="2140" w:left="2160" w:header="720" w:footer="720"/>
          <w:titlePg w:val="false"/>
          <w:textDirection w:val="lrTb"/>
        </w:sectPr>
      </w:pPr>
    </w:p>
    <w:p>
      <w:pPr>
        <w:pageBreakBefore w:val="false"/>
        <w:spacing w:before="1"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KNOWINGLY sells phencyclidine when that person is aware that he or she is selling phencyclidine.</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29"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UNLAWFULLY sells phencyclidine when that person has no legal right to sell that substance.</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28"/>
          <w:vertAlign w:val="baseline"/>
          <w:lang w:val="en-US"/>
        </w:rPr>
        <w:t xml:space="preserve"> Under our law, with certain exceptions not applicable here, a person has no legal right to sell phencyclidine.</w:t>
      </w:r>
    </w:p>
    <w:p>
      <w:pPr>
        <w:pageBreakBefore w:val="false"/>
        <w:spacing w:before="319"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numPr>
          <w:ilvl w:val="0"/>
          <w:numId w:val="1"/>
        </w:numPr>
        <w:tabs>
          <w:tab w:val="clear" w:pos="720"/>
          <w:tab w:val="left" w:pos="1440"/>
        </w:tabs>
        <w:spacing w:before="333" w:after="0" w:line="321"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3"/>
          <w:u w:val="single"/>
          <w:vertAlign w:val="baseline"/>
          <w:lang w:val="en-US"/>
        </w:rPr>
        <w:t xml:space="preserve"> (defendant's name) </w:t>
      </w:r>
      <w:r>
        <w:rPr>
          <w:rFonts w:ascii="Arial" w:hAnsi="Arial" w:eastAsia="Arial"/>
          <w:color w:val="000000"/>
          <w:spacing w:val="0"/>
          <w:w w:val="100"/>
          <w:sz w:val="28"/>
          <w:vertAlign w:val="baseline"/>
          <w:lang w:val="en-US"/>
        </w:rPr>
        <w:t xml:space="preserve"> , sold a quantity of phencyclidine; and</w:t>
      </w:r>
    </w:p>
    <w:p>
      <w:pPr>
        <w:pageBreakBefore w:val="false"/>
        <w:numPr>
          <w:ilvl w:val="0"/>
          <w:numId w:val="1"/>
        </w:numPr>
        <w:tabs>
          <w:tab w:val="clear" w:pos="720"/>
          <w:tab w:val="left" w:pos="1440"/>
        </w:tabs>
        <w:spacing w:before="333" w:after="0" w:line="317" w:lineRule="exact"/>
        <w:ind w:right="0" w:left="1440" w:hanging="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That the defendant did so knowingly and unlawfully.</w:t>
      </w:r>
      <w:r>
        <w:rPr>
          <w:rFonts w:ascii="Arial" w:hAnsi="Arial" w:eastAsia="Arial"/>
          <w:color w:val="000000"/>
          <w:spacing w:val="-3"/>
          <w:w w:val="100"/>
          <w:sz w:val="28"/>
          <w:vertAlign w:val="superscript"/>
          <w:lang w:val="en-US"/>
        </w:rPr>
        <w:t xml:space="preserve">6</w:t>
      </w:r>
      <w:r>
        <w:rPr>
          <w:rFonts w:ascii="Arial" w:hAnsi="Arial" w:eastAsia="Arial"/>
          <w:color w:val="000000"/>
          <w:spacing w:val="-3"/>
          <w:w w:val="100"/>
          <w:sz w:val="17"/>
          <w:vertAlign w:val="baseline"/>
          <w:lang w:val="en-US"/>
        </w:rPr>
        <w:t xml:space="preserve">
</w:t>
      </w:r>
    </w:p>
    <w:p>
      <w:pPr>
        <w:pageBreakBefore w:val="false"/>
        <w:spacing w:before="322"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33" w:after="1633" w:line="321"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pageBreakBefore w:val="false"/>
        <w:spacing w:before="263" w:after="0" w:line="274" w:lineRule="exact"/>
        <w:ind w:right="0" w:left="0" w:firstLine="0"/>
        <w:jc w:val="both"/>
        <w:textAlignment w:val="baseline"/>
        <w:rPr>
          <w:rFonts w:ascii="Arial" w:hAnsi="Arial" w:eastAsia="Arial"/>
          <w:color w:val="000000"/>
          <w:spacing w:val="0"/>
          <w:w w:val="100"/>
          <w:sz w:val="14"/>
          <w:vertAlign w:val="superscript"/>
          <w:lang w:val="en-US"/>
        </w:rPr>
      </w:pPr>
      <w:r>
        <w:pict>
          <v:line strokeweight="1.2pt" strokecolor="#000000" from="107.85pt,559.45pt" to="252.05pt,559.4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4</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15.05(2).. An expanded definition of “knowingly” is available in the General Charges section under Culpable Mental States.</w:t>
      </w:r>
    </w:p>
    <w:p>
      <w:pPr>
        <w:pageBreakBefore w:val="false"/>
        <w:spacing w:before="241" w:after="0" w:line="274"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5</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220.00(2) and Public Health Law § 3396(1).</w:t>
      </w:r>
    </w:p>
    <w:p>
      <w:pPr>
        <w:pageBreakBefore w:val="false"/>
        <w:spacing w:before="247" w:after="0" w:line="274"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6</w:t>
      </w:r>
      <w:r>
        <w:rPr>
          <w:rFonts w:ascii="Arial" w:hAnsi="Arial" w:eastAsia="Arial"/>
          <w:color w:val="000000"/>
          <w:spacing w:val="0"/>
          <w:w w:val="100"/>
          <w:sz w:val="24"/>
          <w:vertAlign w:val="baseline"/>
          <w:lang w:val="en-US"/>
        </w:rPr>
        <w:t xml:space="preserve"> If the defendant has denied the previous conviction or has remained mute, add the following:</w:t>
      </w:r>
    </w:p>
    <w:p>
      <w:pPr>
        <w:pageBreakBefore w:val="false"/>
        <w:spacing w:before="4" w:after="0" w:line="284" w:lineRule="exact"/>
        <w:ind w:right="0" w:left="720" w:firstLine="0"/>
        <w:jc w:val="both"/>
        <w:textAlignment w:val="baseline"/>
        <w:rPr>
          <w:rFonts w:ascii="Arial" w:hAnsi="Arial" w:eastAsia="Arial"/>
          <w:b w:val="true"/>
          <w:color w:val="000000"/>
          <w:spacing w:val="0"/>
          <w:w w:val="100"/>
          <w:sz w:val="24"/>
          <w:vertAlign w:val="baseline"/>
          <w:lang w:val="en-US"/>
        </w:rPr>
      </w:pPr>
      <w:r>
        <w:rPr>
          <w:rFonts w:ascii="Arial" w:hAnsi="Arial" w:eastAsia="Arial"/>
          <w:b w:val="true"/>
          <w:color w:val="000000"/>
          <w:spacing w:val="0"/>
          <w:w w:val="100"/>
          <w:sz w:val="24"/>
          <w:vertAlign w:val="baseline"/>
          <w:lang w:val="en-US"/>
        </w:rPr>
        <w:t xml:space="preserve">“and 3. That the defendant has previously been convicted of </w:t>
      </w:r>
      <w:r>
        <w:rPr>
          <w:rFonts w:ascii="Arial" w:hAnsi="Arial" w:eastAsia="Arial"/>
          <w:b w:val="true"/>
          <w:i w:val="true"/>
          <w:color w:val="000000"/>
          <w:spacing w:val="0"/>
          <w:w w:val="100"/>
          <w:sz w:val="19"/>
          <w:u w:val="single"/>
          <w:vertAlign w:val="baseline"/>
          <w:lang w:val="en-US"/>
        </w:rPr>
        <w:t xml:space="preserve">(specify) </w:t>
      </w:r>
      <w:r>
        <w:rPr>
          <w:rFonts w:ascii="Arial" w:hAnsi="Arial" w:eastAsia="Arial"/>
          <w:b w:val="true"/>
          <w:color w:val="000000"/>
          <w:spacing w:val="0"/>
          <w:w w:val="100"/>
          <w:sz w:val="24"/>
          <w:vertAlign w:val="baseline"/>
          <w:lang w:val="en-US"/>
        </w:rPr>
        <w:t xml:space="preserve"> .”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CPL 200.60(3).</w:t>
      </w:r>
    </w:p>
    <w:p>
      <w:pPr>
        <w:pageBreakBefore w:val="false"/>
        <w:spacing w:before="245"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sectPr>
      <w:type w:val="nextPage"/>
      <w:pgSz w:w="12240" w:h="15840" w:orient="portrait"/>
      <w:pgMar w:bottom="1024" w:top="1440" w:right="2143" w:left="2157"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