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SEX TRAFFICKING</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Penal Law § 230.34(1)</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Nov. 1, 2007)</w:t>
      </w:r>
    </w:p>
    <w:p>
      <w:pPr>
        <w:pageBreakBefore w:val="false"/>
        <w:spacing w:before="328" w:after="0" w:line="323"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Sex Trafficking.</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sex trafficking if he or she intentionally advances or profits from prostitution by unlawfully providing to a person who is patronized, with intent to impair said person’s judgment</w:t>
      </w:r>
    </w:p>
    <w:p>
      <w:pPr>
        <w:pageBreakBefore w:val="false"/>
        <w:spacing w:before="325" w:after="0" w:line="319"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29" w:after="0" w:line="318"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narcotic drug or a narcotic preparation;</w:t>
      </w:r>
    </w:p>
    <w:p>
      <w:pPr>
        <w:pageBreakBefore w:val="false"/>
        <w:spacing w:before="324" w:after="0" w:line="318" w:lineRule="exact"/>
        <w:ind w:right="0" w:left="72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concentrated cannabis;</w:t>
      </w:r>
      <w:r>
        <w:rPr>
          <w:rFonts w:ascii="Arial" w:hAnsi="Arial" w:eastAsia="Arial"/>
          <w:strike w:val="false"/>
          <w:color w:val="000000"/>
          <w:spacing w:val="-3"/>
          <w:w w:val="100"/>
          <w:sz w:val="28"/>
          <w:vertAlign w:val="superscript"/>
          <w:lang w:val="en-US"/>
        </w:rPr>
        <w:t xml:space="preserve">1</w:t>
      </w:r>
      <w:r>
        <w:rPr>
          <w:rFonts w:ascii="Arial" w:hAnsi="Arial" w:eastAsia="Arial"/>
          <w:strike w:val="false"/>
          <w:color w:val="000000"/>
          <w:spacing w:val="-3"/>
          <w:w w:val="100"/>
          <w:sz w:val="17"/>
          <w:vertAlign w:val="baseline"/>
          <w:lang w:val="en-US"/>
        </w:rPr>
        <w:t xml:space="preserve">
</w:t>
      </w:r>
    </w:p>
    <w:p>
      <w:pPr>
        <w:pageBreakBefore w:val="false"/>
        <w:spacing w:before="336" w:after="0" w:line="318"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methadone; [or]</w:t>
      </w:r>
    </w:p>
    <w:p>
      <w:pPr>
        <w:pageBreakBefore w:val="false"/>
        <w:spacing w:before="321"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gamma-hydroxybutyrate (GHB)</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or flunitrazepan, also known as Rohypnol</w:t>
      </w:r>
    </w:p>
    <w:p>
      <w:pPr>
        <w:pageBreakBefore w:val="false"/>
        <w:spacing w:before="33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PROSTITUTION means the act or practice of engaging, or agreeing or offering to engage in sexual conduct with another. person in return for a fee.</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3" w:after="504" w:line="321"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A person ADVANCES PROSTITUTION when, acting other than as a prostitute or as a patron thereof, he or she knowingly</w:t>
      </w:r>
    </w:p>
    <w:p>
      <w:pPr>
        <w:pageBreakBefore w:val="false"/>
        <w:spacing w:before="254" w:after="0" w:line="278"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0.95pt" strokecolor="#000000" from="108pt,601.2pt" to="252.05pt,601.2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The statute here refers to concentrated cannabis “as defined in paragraph (a) of subdivision four of section thirty-three hundred two of the public health law.”</w:t>
      </w:r>
    </w:p>
    <w:p>
      <w:pPr>
        <w:pageBreakBefore w:val="false"/>
        <w:spacing w:before="231" w:after="0" w:line="278"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If in issue, the applicable definition of “gamma hydroxybutyric acid” is in Public Health Law § 3306(1)(e)(4).</w:t>
      </w:r>
    </w:p>
    <w:p>
      <w:pPr>
        <w:pageBreakBefore w:val="false"/>
        <w:spacing w:before="234" w:after="0" w:line="278" w:lineRule="exact"/>
        <w:ind w:right="0" w:left="0" w:firstLine="0"/>
        <w:jc w:val="left"/>
        <w:textAlignment w:val="baseline"/>
        <w:rPr>
          <w:rFonts w:ascii="Arial" w:hAnsi="Arial" w:eastAsia="Arial"/>
          <w:strike w:val="false"/>
          <w:color w:val="000000"/>
          <w:spacing w:val="3"/>
          <w:w w:val="100"/>
          <w:sz w:val="14"/>
          <w:vertAlign w:val="superscript"/>
          <w:lang w:val="en-US"/>
        </w:rPr>
      </w:pPr>
      <w:r>
        <w:rPr>
          <w:rFonts w:ascii="Arial" w:hAnsi="Arial" w:eastAsia="Arial"/>
          <w:strike w:val="false"/>
          <w:color w:val="000000"/>
          <w:spacing w:val="3"/>
          <w:w w:val="100"/>
          <w:sz w:val="14"/>
          <w:vertAlign w:val="superscript"/>
          <w:lang w:val="en-US"/>
        </w:rPr>
        <w:t xml:space="preserve">3</w:t>
      </w:r>
      <w:r>
        <w:rPr>
          <w:rFonts w:ascii="Arial" w:hAnsi="Arial" w:eastAsia="Arial"/>
          <w:strike w:val="false"/>
          <w:color w:val="000000"/>
          <w:spacing w:val="3"/>
          <w:w w:val="100"/>
          <w:sz w:val="24"/>
          <w:vertAlign w:val="baseline"/>
          <w:lang w:val="en-US"/>
        </w:rPr>
        <w:t xml:space="preserve"> Penal Law § 230.00</w:t>
      </w:r>
    </w:p>
    <w:p>
      <w:pPr>
        <w:sectPr>
          <w:type w:val="nextPage"/>
          <w:pgSz w:w="12240" w:h="15840" w:orient="portrait"/>
          <w:pgMar w:bottom="1004" w:top="1440" w:right="2140" w:left="2160" w:header="720" w:footer="0"/>
          <w:titlePg w:val="false"/>
          <w:textDirection w:val="lrTb"/>
        </w:sectPr>
      </w:pPr>
    </w:p>
    <w:p>
      <w:pPr>
        <w:pageBreakBefore w:val="false"/>
        <w:spacing w:before="1"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pict>
          <v:line strokeweight="1.2pt" strokecolor="#000000" from="107.75pt,520.8pt" to="252.05pt,520.8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causes or aids a person to commit or engage in prostitution, procures or solicits patrons for prostitution, provides persons or premises for prostitution purposes, operates or assists in the operation of a house of prostitution or a prostitution enterprise, or engages in any other conduct designed to institute, aid or facilitate an act or enterprise of prostitution.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PROFITS FROM PROSTITUTION when, acting other than as a prostitute receiving compensation for personally rendered prostitution services, he accepts or receives money or other property pursuant to an agreement or understanding with any person whereby he participates or is to participate in the proceeds of prostitution activity.</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3"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 WHO IS PATRONIZED includes the person who was solicited or requested to engage in sexual conduct.</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49" w:after="0" w:line="31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term NARCOTIC [DRUG] [PREPARATION] includes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u w:val="single"/>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327" w:after="855"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INTENT means conscious objective or purpose. Thus, a person INTENTIONALLY advances or profits from prostitution when it is his or her conscious objective or purpose is to do so. And, a person advances or profits from prostitution with the intent to impair another’s judgment when that person’s conscious</w:t>
      </w:r>
    </w:p>
    <w:p>
      <w:pPr>
        <w:pageBreakBefore w:val="false"/>
        <w:spacing w:before="254" w:after="0" w:line="277" w:lineRule="exact"/>
        <w:ind w:right="0" w:left="0" w:firstLine="0"/>
        <w:jc w:val="left"/>
        <w:textAlignment w:val="baseline"/>
        <w:rPr>
          <w:rFonts w:ascii="Arial" w:hAnsi="Arial" w:eastAsia="Arial"/>
          <w:strike w:val="false"/>
          <w:color w:val="000000"/>
          <w:spacing w:val="2"/>
          <w:w w:val="100"/>
          <w:sz w:val="14"/>
          <w:vertAlign w:val="superscript"/>
          <w:lang w:val="en-US"/>
        </w:rPr>
      </w:pPr>
      <w:r>
        <w:rPr>
          <w:rFonts w:ascii="Arial" w:hAnsi="Arial" w:eastAsia="Arial"/>
          <w:strike w:val="false"/>
          <w:color w:val="000000"/>
          <w:spacing w:val="2"/>
          <w:w w:val="100"/>
          <w:sz w:val="14"/>
          <w:vertAlign w:val="superscript"/>
          <w:lang w:val="en-US"/>
        </w:rPr>
        <w:t xml:space="preserve">4</w:t>
      </w:r>
      <w:r>
        <w:rPr>
          <w:rFonts w:ascii="Arial" w:hAnsi="Arial" w:eastAsia="Arial"/>
          <w:strike w:val="false"/>
          <w:color w:val="000000"/>
          <w:spacing w:val="2"/>
          <w:w w:val="100"/>
          <w:sz w:val="24"/>
          <w:vertAlign w:val="baseline"/>
          <w:lang w:val="en-US"/>
        </w:rPr>
        <w:t xml:space="preserve"> Penal Law § 230.15(1).</w:t>
      </w:r>
    </w:p>
    <w:p>
      <w:pPr>
        <w:pageBreakBefore w:val="false"/>
        <w:spacing w:before="242" w:after="0" w:line="277"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230.15(2).</w:t>
      </w:r>
    </w:p>
    <w:p>
      <w:pPr>
        <w:pageBreakBefore w:val="false"/>
        <w:spacing w:before="238" w:after="0" w:line="277"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The term “person who is patronized” is defined in Penal Law § 230.02. That section is entitled as “patronizing a prostitute; definitions” and was initially written for the patronizing a prostitute crimes. To what extent that definition would apply to this crime remains to be determined. A portion of that definition is incorporated here.</w:t>
      </w:r>
    </w:p>
    <w:p>
      <w:pPr>
        <w:pageBreakBefore w:val="false"/>
        <w:spacing w:before="238" w:after="0" w:line="277"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7</w:t>
      </w:r>
      <w:r>
        <w:rPr>
          <w:rFonts w:ascii="Arial" w:hAnsi="Arial" w:eastAsia="Arial"/>
          <w:strike w:val="false"/>
          <w:color w:val="000000"/>
          <w:spacing w:val="0"/>
          <w:w w:val="100"/>
          <w:sz w:val="24"/>
          <w:vertAlign w:val="baseline"/>
          <w:lang w:val="en-US"/>
        </w:rPr>
        <w:t xml:space="preserve"> See Penal Law § 220.00(7) (narcotic drug); Penal Law § 220.00(8) (narcotic preparation).</w:t>
      </w:r>
    </w:p>
    <w:p>
      <w:pPr>
        <w:sectPr>
          <w:footerReference w:type="default" r:id="fId0"/>
          <w:type w:val="nextPage"/>
          <w:pgSz w:w="12240" w:h="15840" w:orient="portrait"/>
          <w:pgMar w:bottom="1330" w:top="1440" w:right="2145" w:left="2155" w:header="720" w:footer="1487"/>
          <w:titlePg w:val="false"/>
          <w:textDirection w:val="lrTb"/>
        </w:sectPr>
      </w:pPr>
    </w:p>
    <w:p>
      <w:pPr>
        <w:pageBreakBefore w:val="false"/>
        <w:spacing w:before="43" w:after="0" w:line="319"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objective or purpose is to do so.</w:t>
      </w:r>
      <w:r>
        <w:rPr>
          <w:rFonts w:ascii="Arial" w:hAnsi="Arial" w:eastAsia="Arial"/>
          <w:strike w:val="false"/>
          <w:color w:val="000000"/>
          <w:spacing w:val="-1"/>
          <w:w w:val="100"/>
          <w:sz w:val="28"/>
          <w:vertAlign w:val="superscript"/>
          <w:lang w:val="en-US"/>
        </w:rPr>
        <w:t xml:space="preserve">8</w:t>
      </w:r>
      <w:r>
        <w:rPr>
          <w:rFonts w:ascii="Arial" w:hAnsi="Arial" w:eastAsia="Arial"/>
          <w:strike w:val="false"/>
          <w:color w:val="000000"/>
          <w:spacing w:val="-1"/>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28"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intentionally advanced or profited from prostitution; and</w:t>
      </w:r>
    </w:p>
    <w:p>
      <w:pPr>
        <w:pageBreakBefore w:val="false"/>
        <w:numPr>
          <w:ilvl w:val="0"/>
          <w:numId w:val="1"/>
        </w:numPr>
        <w:tabs>
          <w:tab w:val="clear" w:pos="720"/>
          <w:tab w:val="left" w:pos="1440"/>
        </w:tabs>
        <w:spacing w:before="323"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by unlawfully providing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substance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to a person who was patronized, namely,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with intent to impair his/her judgment.</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4475"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4475" w:line="324" w:lineRule="exact"/>
        <w:sectPr>
          <w:type w:val="nextPage"/>
          <w:pgSz w:w="12240" w:h="15840" w:orient="portrait"/>
          <w:pgMar w:bottom="1330" w:top="1400" w:right="2142" w:left="2158" w:header="720" w:footer="1483"/>
          <w:titlePg w:val="false"/>
          <w:textDirection w:val="lrTb"/>
        </w:sectPr>
      </w:pPr>
    </w:p>
    <w:p>
      <w:pPr>
        <w:pageBreakBefore w:val="false"/>
        <w:spacing w:before="247" w:after="0" w:line="281"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0.95pt" strokecolor="#000000" from="107.4pt,653.5pt" to="252.05pt,653.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8</w:t>
      </w:r>
      <w:r>
        <w:rPr>
          <w:rFonts w:ascii="Arial" w:hAnsi="Arial" w:eastAsia="Arial"/>
          <w:strike w:val="false"/>
          <w:color w:val="000000"/>
          <w:spacing w:val="0"/>
          <w:w w:val="100"/>
          <w:sz w:val="24"/>
          <w:vertAlign w:val="baseline"/>
          <w:lang w:val="en-US"/>
        </w:rPr>
        <w:t xml:space="preserve"> See Penal Law § 15.05(1). An expanded definition of “intent” is available in the General Charges section under Culpable Mental States.</w:t>
      </w:r>
    </w:p>
    <w:sectPr>
      <w:type w:val="continuous"/>
      <w:pgSz w:w="12240" w:h="15840" w:orient="portrait"/>
      <w:pgMar w:bottom="1330" w:top="1400" w:right="2152" w:left="2148"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1"/>
      </w:tabs>
      <w:spacing w:before="0" w:after="0" w:line="29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