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footerfId2.xml" ContentType="application/vnd.openxmlformats-officedocument.wordprocessingml.footer+xml"/>
  <Override PartName="/word/footerfId3.xml" ContentType="application/vnd.openxmlformats-officedocument.wordprocessingml.footer+xml"/>
  <Override PartName="/word/footerfId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DISSEMINATING INDECENT MATERIAL TO MINORS IN THE</w:t>
        <w:br/>
      </w:r>
      <w:r>
        <w:rPr>
          <w:rFonts w:ascii="Arial" w:hAnsi="Arial" w:eastAsia="Arial"/>
          <w:b w:val="true"/>
          <w:strike w:val="false"/>
          <w:color w:val="000000"/>
          <w:spacing w:val="-1"/>
          <w:w w:val="100"/>
          <w:sz w:val="28"/>
          <w:vertAlign w:val="baseline"/>
          <w:lang w:val="en-US"/>
        </w:rPr>
        <w:t xml:space="preserve">SECOND DEGREE</w:t>
        <w:br/>
      </w:r>
      <w:r>
        <w:rPr>
          <w:rFonts w:ascii="Arial" w:hAnsi="Arial" w:eastAsia="Arial"/>
          <w:b w:val="true"/>
          <w:strike w:val="false"/>
          <w:color w:val="000000"/>
          <w:spacing w:val="-1"/>
          <w:w w:val="100"/>
          <w:sz w:val="28"/>
          <w:vertAlign w:val="baseline"/>
          <w:lang w:val="en-US"/>
        </w:rPr>
        <w:t xml:space="preserve">Penal Law § 235.21(1)(a)</w:t>
        <w:br/>
      </w:r>
      <w:r>
        <w:rPr>
          <w:rFonts w:ascii="Arial" w:hAnsi="Arial" w:eastAsia="Arial"/>
          <w:b w:val="true"/>
          <w:strike w:val="false"/>
          <w:color w:val="000000"/>
          <w:spacing w:val="-1"/>
          <w:w w:val="100"/>
          <w:sz w:val="28"/>
          <w:vertAlign w:val="baseline"/>
          <w:lang w:val="en-US"/>
        </w:rPr>
        <w:t xml:space="preserve">(Committed on or after Nov. 1, 1996)</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Disseminating Indecent Material to Minors in the Second Degree.</w:t>
      </w:r>
    </w:p>
    <w:p>
      <w:pPr>
        <w:pageBreakBefore w:val="false"/>
        <w:spacing w:before="321"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Disseminating Indecent Material to Minors in the Second Degree when, with knowledge of its character and content, he or she sells or loans to a minor for monetary consideration any picture, photograph, drawing, sculpture, motion picture film, or similar visual representation or image of a person or portion of the human body which depicts nudity, sexual conduct or sado-masochistic abuse and which is harmful to minors.</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MINOR means any person less than seventeen years old.</w:t>
      </w:r>
      <w:r>
        <w:rPr>
          <w:rFonts w:ascii="Arial" w:hAnsi="Arial" w:eastAsia="Arial"/>
          <w:strike w:val="false"/>
          <w:color w:val="000000"/>
          <w:spacing w:val="-5"/>
          <w:w w:val="100"/>
          <w:sz w:val="28"/>
          <w:vertAlign w:val="superscript"/>
          <w:lang w:val="en-US"/>
        </w:rPr>
        <w:t xml:space="preserve">1</w:t>
      </w:r>
      <w:r>
        <w:rPr>
          <w:rFonts w:ascii="Arial" w:hAnsi="Arial" w:eastAsia="Arial"/>
          <w:strike w:val="false"/>
          <w:color w:val="000000"/>
          <w:spacing w:val="-5"/>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0" w:after="592"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acts of masturbation, homosexuality, sexual intercourse, or physical contact with a person’s clothed or unclothed genitals, pubic area, buttocks or, if such person be a female, breast.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6" w:after="0" w:line="299" w:lineRule="exact"/>
        <w:ind w:right="0" w:left="720" w:firstLine="0"/>
        <w:jc w:val="left"/>
        <w:textAlignment w:val="baseline"/>
        <w:rPr>
          <w:rFonts w:ascii="Arial" w:hAnsi="Arial" w:eastAsia="Arial"/>
          <w:strike w:val="false"/>
          <w:color w:val="000000"/>
          <w:spacing w:val="-2"/>
          <w:w w:val="100"/>
          <w:sz w:val="16"/>
          <w:vertAlign w:val="superscript"/>
          <w:lang w:val="en-US"/>
        </w:rPr>
      </w:pPr>
      <w:r>
        <w:pict>
          <v:line strokeweight="0.95pt" strokecolor="#000000" from="108pt,638.9pt" to="252.05pt,638.9pt" style="position:absolute;mso-position-horizontal-relative:page;mso-position-vertical-relative:page;">
            <v:stroke dashstyle="solid"/>
          </v:line>
        </w:pict>
      </w:r>
      <w:r>
        <w:rPr>
          <w:rFonts w:ascii="Arial" w:hAnsi="Arial" w:eastAsia="Arial"/>
          <w:strike w:val="false"/>
          <w:color w:val="000000"/>
          <w:spacing w:val="-2"/>
          <w:w w:val="100"/>
          <w:sz w:val="16"/>
          <w:vertAlign w:val="superscript"/>
          <w:lang w:val="en-US"/>
        </w:rPr>
        <w:t xml:space="preserve">1</w:t>
      </w:r>
      <w:r>
        <w:rPr>
          <w:rFonts w:ascii="Arial" w:hAnsi="Arial" w:eastAsia="Arial"/>
          <w:strike w:val="false"/>
          <w:color w:val="000000"/>
          <w:spacing w:val="-2"/>
          <w:w w:val="100"/>
          <w:sz w:val="26"/>
          <w:vertAlign w:val="baseline"/>
          <w:lang w:val="en-US"/>
        </w:rPr>
        <w:t xml:space="preserve"> Penal Law § 235.20(1).</w:t>
      </w:r>
    </w:p>
    <w:p>
      <w:pPr>
        <w:pageBreakBefore w:val="false"/>
        <w:spacing w:before="24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2</w:t>
      </w:r>
      <w:r>
        <w:rPr>
          <w:rFonts w:ascii="Arial" w:hAnsi="Arial" w:eastAsia="Arial"/>
          <w:strike w:val="false"/>
          <w:color w:val="000000"/>
          <w:spacing w:val="-1"/>
          <w:w w:val="100"/>
          <w:sz w:val="26"/>
          <w:vertAlign w:val="baseline"/>
          <w:lang w:val="en-US"/>
        </w:rPr>
        <w:t xml:space="preserve"> Penal Law § 235.20(2).</w:t>
      </w:r>
    </w:p>
    <w:p>
      <w:pPr>
        <w:pageBreakBefore w:val="false"/>
        <w:spacing w:before="238"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3</w:t>
      </w:r>
      <w:r>
        <w:rPr>
          <w:rFonts w:ascii="Arial" w:hAnsi="Arial" w:eastAsia="Arial"/>
          <w:strike w:val="false"/>
          <w:color w:val="000000"/>
          <w:spacing w:val="-1"/>
          <w:w w:val="100"/>
          <w:sz w:val="26"/>
          <w:vertAlign w:val="baseline"/>
          <w:lang w:val="en-US"/>
        </w:rPr>
        <w:t xml:space="preserve"> Penal Law § 235.20(3).</w:t>
      </w:r>
    </w:p>
    <w:p>
      <w:pPr>
        <w:sectPr>
          <w:type w:val="nextPage"/>
          <w:pgSz w:w="12240" w:h="15840" w:orient="portrait"/>
          <w:pgMar w:bottom="1004" w:top="1440" w:right="2140" w:left="2160" w:header="720" w:footer="0"/>
          <w:titlePg w:val="false"/>
          <w:textDirection w:val="lrTb"/>
        </w:sectPr>
      </w:pPr>
    </w:p>
    <w:p>
      <w:pPr>
        <w:pageBreakBefore w:val="false"/>
        <w:spacing w:before="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08pt,585.1pt" to="252.05pt,585.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HARMFUL TO MINORS means that quality of any description or representation, in whatever form, of nudity, sexual conduct, sexual excitement, or sado-masochistic abuse, when it:</w:t>
      </w:r>
    </w:p>
    <w:p>
      <w:pPr>
        <w:pageBreakBefore w:val="false"/>
        <w:numPr>
          <w:ilvl w:val="0"/>
          <w:numId w:val="1"/>
        </w:numPr>
        <w:tabs>
          <w:tab w:val="clear" w:pos="432"/>
          <w:tab w:val="left" w:pos="1152"/>
        </w:tabs>
        <w:spacing w:before="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appeals to the prurient interest in sex of minors; and</w:t>
      </w:r>
    </w:p>
    <w:p>
      <w:pPr>
        <w:pageBreakBefore w:val="false"/>
        <w:numPr>
          <w:ilvl w:val="0"/>
          <w:numId w:val="1"/>
        </w:numPr>
        <w:tabs>
          <w:tab w:val="clear" w:pos="432"/>
          <w:tab w:val="left" w:pos="1152"/>
        </w:tabs>
        <w:spacing w:before="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 patently offensive to prevailing standards in the adult community as a whole with respect to what is suitable material for minors; and</w:t>
      </w:r>
    </w:p>
    <w:p>
      <w:pPr>
        <w:pageBreakBefore w:val="false"/>
        <w:numPr>
          <w:ilvl w:val="0"/>
          <w:numId w:val="1"/>
        </w:numPr>
        <w:tabs>
          <w:tab w:val="clear" w:pos="432"/>
          <w:tab w:val="left" w:pos="1152"/>
        </w:tabs>
        <w:spacing w:before="0"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lacks serious literary, artistic, political and scientific value for minors.</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excitement” as used in this definition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8" w:after="842"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who, for monetary consideration, sells or loans to a minor any of the described material is presumed to do so with knowledge of the character and content of that material.</w:t>
      </w:r>
      <w:r>
        <w:rPr>
          <w:rFonts w:ascii="Arial" w:hAnsi="Arial" w:eastAsia="Arial"/>
          <w:strike w:val="false"/>
          <w:color w:val="000000"/>
          <w:spacing w:val="-4"/>
          <w:w w:val="100"/>
          <w:sz w:val="28"/>
          <w:vertAlign w:val="superscript"/>
          <w:lang w:val="en-US"/>
        </w:rPr>
        <w:t xml:space="preserve">7</w:t>
      </w:r>
      <w:r>
        <w:rPr>
          <w:rFonts w:ascii="Arial" w:hAnsi="Arial" w:eastAsia="Arial"/>
          <w:strike w:val="false"/>
          <w:color w:val="000000"/>
          <w:spacing w:val="-4"/>
          <w:w w:val="100"/>
          <w:sz w:val="28"/>
          <w:vertAlign w:val="baseline"/>
          <w:lang w:val="en-US"/>
        </w:rPr>
        <w:t xml:space="preserve"> This means that, if the People have proven beyond a reasonable doubt that the defendant, for monetary consideration, sold or loaned to a minor any of the described material, you may, but you are not required to, presume from that fact that the defendant did so with knowledge of the character and content of that material.</w:t>
      </w:r>
    </w:p>
    <w:p>
      <w:pPr>
        <w:pageBreakBefore w:val="false"/>
        <w:spacing w:before="25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4</w:t>
      </w:r>
      <w:r>
        <w:rPr>
          <w:rFonts w:ascii="Arial" w:hAnsi="Arial" w:eastAsia="Arial"/>
          <w:strike w:val="false"/>
          <w:color w:val="000000"/>
          <w:spacing w:val="-1"/>
          <w:w w:val="100"/>
          <w:sz w:val="26"/>
          <w:vertAlign w:val="baseline"/>
          <w:lang w:val="en-US"/>
        </w:rPr>
        <w:t xml:space="preserve"> Penal Law § 235.20(5).</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5</w:t>
      </w:r>
      <w:r>
        <w:rPr>
          <w:rFonts w:ascii="Arial" w:hAnsi="Arial" w:eastAsia="Arial"/>
          <w:strike w:val="false"/>
          <w:color w:val="000000"/>
          <w:spacing w:val="-1"/>
          <w:w w:val="100"/>
          <w:sz w:val="26"/>
          <w:vertAlign w:val="baseline"/>
          <w:lang w:val="en-US"/>
        </w:rPr>
        <w:t xml:space="preserve"> Penal Law § 235.20(6).</w:t>
      </w:r>
    </w:p>
    <w:p>
      <w:pPr>
        <w:pageBreakBefore w:val="false"/>
        <w:spacing w:before="238"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6</w:t>
      </w:r>
      <w:r>
        <w:rPr>
          <w:rFonts w:ascii="Arial" w:hAnsi="Arial" w:eastAsia="Arial"/>
          <w:strike w:val="false"/>
          <w:color w:val="000000"/>
          <w:spacing w:val="-1"/>
          <w:w w:val="100"/>
          <w:sz w:val="26"/>
          <w:vertAlign w:val="baseline"/>
          <w:lang w:val="en-US"/>
        </w:rPr>
        <w:t xml:space="preserve"> Penal Law § 235.20(4).</w:t>
      </w:r>
    </w:p>
    <w:p>
      <w:pPr>
        <w:sectPr>
          <w:footerReference w:type="even" r:id="fId0"/>
          <w:footerReference w:type="first" r:id="fId1"/>
          <w:type w:val="nextPage"/>
          <w:pgSz w:w="12240" w:h="15840" w:orient="portrait"/>
          <w:pgMar w:bottom="1882" w:top="1440" w:right="2140" w:left="2160" w:header="720" w:footer="1488"/>
          <w:titlePg w:val="tru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Add where the affirmative defense to this crime is not raised:</w:t>
      </w:r>
    </w:p>
    <w:p>
      <w:pPr>
        <w:pageBreakBefore w:val="false"/>
        <w:spacing w:before="27"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an element of this crime, and thus the People are not required to prove beyond a reasonable doubt, that the defendant knew the person was less than seventeen years of age.</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2"/>
        </w:numPr>
        <w:tabs>
          <w:tab w:val="clear" w:pos="360"/>
          <w:tab w:val="left" w:pos="1080"/>
        </w:tabs>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vertAlign w:val="baseline"/>
          <w:lang w:val="en-US"/>
        </w:rPr>
        <w:t xml:space="preserve"> in the county of</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for monetary consideration, sold or loaned any</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Specify as appropriate: </w:t>
      </w:r>
      <w:r>
        <w:rPr>
          <w:rFonts w:ascii="Arial" w:hAnsi="Arial" w:eastAsia="Arial"/>
          <w:strike w:val="false"/>
          <w:color w:val="000000"/>
          <w:spacing w:val="0"/>
          <w:w w:val="100"/>
          <w:sz w:val="28"/>
          <w:vertAlign w:val="baseline"/>
          <w:lang w:val="en-US"/>
        </w:rPr>
        <w:t xml:space="preserve">picture, photograph, drawing, sculpture, motion picture film, or similar visual representation or image] of a person or portion of the human body which depicted nudity, sexual conduct or sado-masochistic abuse;</w:t>
      </w:r>
    </w:p>
    <w:p>
      <w:pPr>
        <w:pageBreakBefore w:val="false"/>
        <w:numPr>
          <w:ilvl w:val="0"/>
          <w:numId w:val="2"/>
        </w:numPr>
        <w:tabs>
          <w:tab w:val="clear" w:pos="360"/>
          <w:tab w:val="left" w:pos="1080"/>
        </w:tabs>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had knowledge of the character and content of that material;</w:t>
      </w:r>
    </w:p>
    <w:p>
      <w:pPr>
        <w:pageBreakBefore w:val="false"/>
        <w:numPr>
          <w:ilvl w:val="0"/>
          <w:numId w:val="2"/>
        </w:numPr>
        <w:tabs>
          <w:tab w:val="clear" w:pos="360"/>
          <w:tab w:val="left" w:pos="1080"/>
        </w:tabs>
        <w:spacing w:before="333"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material was harmful to minors; and</w:t>
      </w:r>
    </w:p>
    <w:p>
      <w:pPr>
        <w:pageBreakBefore w:val="false"/>
        <w:spacing w:before="32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4.That the defendant sold or loaned that material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minor.</w:t>
      </w:r>
    </w:p>
    <w:p>
      <w:pPr>
        <w:pageBreakBefore w:val="false"/>
        <w:spacing w:before="323"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521" w:line="315" w:lineRule="exact"/>
        <w:ind w:right="0" w:left="720" w:firstLine="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If you find the People have not proven beyond a reasonable</w:t>
      </w:r>
    </w:p>
    <w:p>
      <w:pPr>
        <w:pageBreakBefore w:val="false"/>
        <w:spacing w:before="257"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8</w:t>
      </w:r>
      <w:r>
        <w:rPr>
          <w:rFonts w:ascii="Arial" w:hAnsi="Arial" w:eastAsia="Arial"/>
          <w:strike w:val="false"/>
          <w:color w:val="000000"/>
          <w:spacing w:val="-1"/>
          <w:w w:val="100"/>
          <w:sz w:val="26"/>
          <w:vertAlign w:val="baseline"/>
          <w:lang w:val="en-US"/>
        </w:rPr>
        <w:t xml:space="preserve"> See Penal Law § 15.05(3).</w:t>
      </w:r>
    </w:p>
    <w:p>
      <w:pPr>
        <w:sectPr>
          <w:footerReference w:type="default" r:id="fId2"/>
          <w:type w:val="nextPage"/>
          <w:pgSz w:w="12240" w:h="15840" w:orient="portrait"/>
          <w:pgMar w:bottom="1330" w:top="1440" w:right="2140" w:left="2160" w:header="720" w:footer="1483"/>
          <w:titlePg w:val="tru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doubt any one or more of those elements, you must find the defendant not guilty of this crime.</w:t>
      </w:r>
    </w:p>
    <w:p>
      <w:pPr>
        <w:pageBreakBefore w:val="false"/>
        <w:spacing w:before="330"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the crime of Disseminating Indecent Material to Minors in the Second Degree.</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you must consider an affirmative defense the defendant has raised. Remember, if you have already found the defendant not guilty of the crime of Disseminating Indecent Material to Minors in the Second Degree, you will not consider the affirmative defense.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People are not required to prove beyond a reasonable doubt, that the defendant knew the person was less than seventeen years of age. It is, however, an affirmative defense to this charge of Disseminating Indecent Material to Minors in the Second Degree that:</w:t>
      </w:r>
    </w:p>
    <w:p>
      <w:pPr>
        <w:pageBreakBefore w:val="false"/>
        <w:numPr>
          <w:ilvl w:val="0"/>
          <w:numId w:val="1"/>
        </w:numPr>
        <w:tabs>
          <w:tab w:val="clear" w:pos="432"/>
          <w:tab w:val="left" w:pos="1872"/>
        </w:tabs>
        <w:spacing w:before="324"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had reasonable cause to believe that the minor involved was seventeen years old or more; and</w:t>
      </w:r>
    </w:p>
    <w:p>
      <w:pPr>
        <w:pageBreakBefore w:val="false"/>
        <w:numPr>
          <w:ilvl w:val="0"/>
          <w:numId w:val="1"/>
        </w:numPr>
        <w:tabs>
          <w:tab w:val="clear" w:pos="432"/>
          <w:tab w:val="left" w:pos="1872"/>
        </w:tabs>
        <w:spacing w:before="326"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such minor exhibited to the defendant a draft card, driver’s license, birth certificate or other official or apparently official document purporting to establish that such minor was seventeen years old or more.</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3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sectPr>
          <w:type w:val="nextPage"/>
          <w:pgSz w:w="12240" w:h="15840" w:orient="portrait"/>
          <w:pgMar w:bottom="2130" w:top="1440" w:right="2140" w:left="2160" w:header="720" w:footer="1488"/>
          <w:titlePg w:val="false"/>
          <w:textDirection w:val="lrTb"/>
        </w:sectPr>
      </w:pPr>
    </w:p>
    <w:p>
      <w:pPr>
        <w:pageBreakBefore w:val="false"/>
        <w:spacing w:before="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8"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each of the elements of Disseminating Indecent Material to Minors in the Second Degree, you must find the defendant guilty of that crime.</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Disseminating Indecent Material to Minors in the Second Degree.]</w:t>
      </w:r>
    </w:p>
    <w:sectPr>
      <w:footerReference w:type="even" r:id="fId3"/>
      <w:footerReference w:type="first" r:id="fId4"/>
      <w:type w:val="nextPage"/>
      <w:pgSz w:w="12240" w:h="15840" w:orient="portrait"/>
      <w:pgMar w:bottom="1323" w:top="1440" w:right="2140" w:left="2153" w:header="720" w:footer="1482"/>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653"/>
      </w:tabs>
      <w:spacing w:before="0" w:after="0" w:line="299" w:lineRule="exact"/>
      <w:ind w:right="0" w:left="72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1"/>
        <w:w w:val="100"/>
        <w:sz w:val="16"/>
        <w:vertAlign w:val="superscript"/>
        <w:lang w:val="en-US"/>
      </w:rPr>
      <w:t xml:space="preserve">9</w:t>
    </w:r>
    <w:r>
      <w:rPr>
        <w:rFonts w:ascii="Arial" w:hAnsi="Arial" w:eastAsia="Arial"/>
        <w:strike w:val="false"/>
        <w:color w:val="000000"/>
        <w:spacing w:val="-1"/>
        <w:w w:val="100"/>
        <w:sz w:val="26"/>
        <w:vertAlign w:val="baseline"/>
        <w:lang w:val="en-US"/>
      </w:rPr>
      <w:t xml:space="preserve"> See Penal Law § 235.23(2).</w:t>
    </w:r>
  </w:p>
  <w:p>
    <w:pPr>
      <w:pageBreakBefore w:val="false"/>
      <w:tabs>
        <w:tab w:val="left" w:leader="none" w:pos="3816"/>
      </w:tabs>
      <w:spacing w:before="0" w:after="0" w:line="29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653"/>
      </w:tabs>
      <w:spacing w:before="0" w:after="0" w:line="299" w:lineRule="exact"/>
      <w:ind w:right="0" w:left="72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1"/>
        <w:w w:val="100"/>
        <w:sz w:val="16"/>
        <w:vertAlign w:val="superscript"/>
        <w:lang w:val="en-US"/>
      </w:rPr>
      <w:t xml:space="preserve">9</w:t>
    </w:r>
    <w:r>
      <w:rPr>
        <w:rFonts w:ascii="Arial" w:hAnsi="Arial" w:eastAsia="Arial"/>
        <w:strike w:val="false"/>
        <w:color w:val="000000"/>
        <w:spacing w:val="-1"/>
        <w:w w:val="100"/>
        <w:sz w:val="26"/>
        <w:vertAlign w:val="baseline"/>
        <w:lang w:val="en-US"/>
      </w:rPr>
      <w:t xml:space="preserve"> See Penal Law § 235.23(2).</w:t>
    </w:r>
  </w:p>
  <w:p>
    <w:pPr>
      <w:pageBreakBefore w:val="false"/>
      <w:tabs>
        <w:tab w:val="left" w:leader="none" w:pos="3816"/>
      </w:tabs>
      <w:spacing w:before="0" w:after="0" w:line="29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footerfId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footerfId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footerfId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tru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fId2" Type="http://schemas.openxmlformats.org/officeDocument/2006/relationships/footer" Target="footerfId2.xml"/><Relationship Id="fId3" Type="http://schemas.openxmlformats.org/officeDocument/2006/relationships/footer" Target="footerfId3.xml"/><Relationship Id="fId4" Type="http://schemas.openxmlformats.org/officeDocument/2006/relationships/footer" Target="footerfId4.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