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HARASSMENT IN THE SECOND DEGREE</w:t>
        <w:br/>
      </w:r>
      <w:r>
        <w:rPr>
          <w:rFonts w:ascii="Arial" w:hAnsi="Arial" w:eastAsia="Arial"/>
          <w:b w:val="true"/>
          <w:strike w:val="false"/>
          <w:color w:val="000000"/>
          <w:spacing w:val="0"/>
          <w:w w:val="100"/>
          <w:sz w:val="28"/>
          <w:vertAlign w:val="baseline"/>
          <w:lang w:val="en-US"/>
        </w:rPr>
        <w:t xml:space="preserve">(Harassment First Degree with previous conviction)</w:t>
        <w:br/>
      </w:r>
      <w:r>
        <w:rPr>
          <w:rFonts w:ascii="Arial" w:hAnsi="Arial" w:eastAsia="Arial"/>
          <w:b w:val="true"/>
          <w:strike w:val="false"/>
          <w:color w:val="000000"/>
          <w:spacing w:val="0"/>
          <w:w w:val="100"/>
          <w:sz w:val="28"/>
          <w:vertAlign w:val="baseline"/>
          <w:lang w:val="en-US"/>
        </w:rPr>
        <w:t xml:space="preserve">Penal Law § 240.30 (5) [formerly (4)]</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br/>
      </w:r>
      <w:r>
        <w:rPr>
          <w:rFonts w:ascii="Arial" w:hAnsi="Arial" w:eastAsia="Arial"/>
          <w:b w:val="true"/>
          <w:strike w:val="false"/>
          <w:color w:val="000000"/>
          <w:spacing w:val="0"/>
          <w:w w:val="100"/>
          <w:sz w:val="28"/>
          <w:vertAlign w:val="baseline"/>
          <w:lang w:val="en-US"/>
        </w:rPr>
        <w:t xml:space="preserve">(Committed on or after May 24, 1994)</w:t>
      </w:r>
    </w:p>
    <w:p>
      <w:pPr>
        <w:pageBreakBefore w:val="false"/>
        <w:spacing w:before="64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Aggravated Harassment in the Second Degree.</w:t>
      </w:r>
    </w:p>
    <w:p>
      <w:pPr>
        <w:pageBreakBefore w:val="false"/>
        <w:spacing w:before="314"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Aggravated Harassment in the Second Degree when, with intent to harass, annoy, threaten or alarm another person, he or she intentionally and repeatedly harasses another person by following such person in or about a public place or places or by engaging in a course of conduct or by repeatedly committing acts which places such person in reasonable fear of physical injury.</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17"/>
          <w:vertAlign w:val="baseline"/>
          <w:lang w:val="en-US"/>
        </w:rPr>
        <w:t xml:space="preserve">
</w:t>
      </w:r>
    </w:p>
    <w:p>
      <w:pPr>
        <w:pageBreakBefore w:val="false"/>
        <w:spacing w:before="328" w:after="1294"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261"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447.35pt" to="252.05pt,447.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Effective December 24, 2012, this section was renumbered from Penal Law § 240.30 (4) to 240.30 (5).</w:t>
      </w:r>
    </w:p>
    <w:p>
      <w:pPr>
        <w:pageBreakBefore w:val="false"/>
        <w:spacing w:before="238"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statute defines the crime as follows: “A person is guilty of aggravated harassment in the second degree when, with intent to harass, annoy, threaten or alarm another person, he or she...5. Commits the crime of harassment in the first degree and has previously been convicted of the crime of harassment in the first degree as defined by [Penal Law § 240.25] within the preceding ten years.” This charge inserts the language of harassment in the first degree.</w:t>
      </w:r>
    </w:p>
    <w:p>
      <w:pPr>
        <w:pageBreakBefore w:val="false"/>
        <w:spacing w:before="2" w:after="0" w:line="276" w:lineRule="exact"/>
        <w:ind w:right="0" w:left="0" w:firstLine="720"/>
        <w:jc w:val="both"/>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The additional element of "has previously been convicted of the crime of harassment in the first degree... within the preceding ten years," must be charged in a special information, and after commencement of trial the defendant must be arraigned on that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CPL 200.60; </w:t>
      </w:r>
      <w:r>
        <w:rPr>
          <w:rFonts w:ascii="Arial" w:hAnsi="Arial" w:eastAsia="Arial"/>
          <w:i w:val="true"/>
          <w:strike w:val="false"/>
          <w:color w:val="000000"/>
          <w:spacing w:val="-4"/>
          <w:w w:val="100"/>
          <w:sz w:val="24"/>
          <w:vertAlign w:val="baseline"/>
          <w:lang w:val="en-US"/>
        </w:rPr>
        <w:t xml:space="preserve">People v Cooper</w:t>
      </w:r>
      <w:r>
        <w:rPr>
          <w:rFonts w:ascii="Arial" w:hAnsi="Arial" w:eastAsia="Arial"/>
          <w:strike w:val="false"/>
          <w:color w:val="000000"/>
          <w:spacing w:val="-4"/>
          <w:w w:val="100"/>
          <w:sz w:val="24"/>
          <w:vertAlign w:val="baseline"/>
          <w:lang w:val="en-US"/>
        </w:rPr>
        <w:t xml:space="preserve">, 78 NY2d 476 [1991]).</w:t>
      </w:r>
    </w:p>
    <w:p>
      <w:pPr>
        <w:sectPr>
          <w:type w:val="nextPage"/>
          <w:pgSz w:w="12240" w:h="15840" w:orient="portrait"/>
          <w:pgMar w:bottom="984" w:top="1440" w:right="2140" w:left="2160" w:header="720" w:footer="0"/>
          <w:titlePg w:val="false"/>
          <w:textDirection w:val="lrTb"/>
        </w:sectPr>
      </w:pPr>
    </w:p>
    <w:p>
      <w:pPr>
        <w:pageBreakBefore w:val="false"/>
        <w:spacing w:before="35"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1.2pt" strokecolor="#000000" from="108pt,581.3pt" to="252.05pt,581.3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Thus, a person acts with intent to harass, annoy, threaten or alarm another person when his or her conscious objective or purpose is to do so.</w:t>
      </w:r>
    </w:p>
    <w:p>
      <w:pPr>
        <w:pageBreakBefore w:val="false"/>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INTENTIONALLY harasses another person when his or her conscious objective or purpose is to do so.</w:t>
      </w:r>
    </w:p>
    <w:p>
      <w:pPr>
        <w:pageBreakBefore w:val="false"/>
        <w:spacing w:before="32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33"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[PUBLIC PLACE means a place to which the public or a substantial group of persons has access, and includes, but is not limited to, highways, transportation facilities, schools, places of amusement, parks, playgrounds, and hallways, lobbies and other portions of apartment houses and hotels not constituting rooms or apartments designed for actual residence.</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28"/>
          <w:vertAlign w:val="baseline"/>
          <w:lang w:val="en-US"/>
        </w:rPr>
        <w:t xml:space="preserve">]</w:t>
      </w:r>
    </w:p>
    <w:p>
      <w:pPr>
        <w:pageBreakBefore w:val="false"/>
        <w:spacing w:before="330" w:after="0" w:line="318"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where appropriate:</w:t>
      </w:r>
    </w:p>
    <w:p>
      <w:pPr>
        <w:pageBreakBefore w:val="false"/>
        <w:spacing w:before="5" w:after="0" w:line="322"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TRANSPORTATION FACILITY means any conveyance, premises or place used for or in connection with public passenger transportation, whether by air, railroad, motor vehicle or any other method. It includes aircraft, watercraft, railroad cars, buses, and air, boat, railroad and bus terminals and stations and all appurtenances thereto.</w:t>
      </w:r>
      <w:r>
        <w:rPr>
          <w:rFonts w:ascii="Arial" w:hAnsi="Arial" w:eastAsia="Arial"/>
          <w:strike w:val="false"/>
          <w:color w:val="000000"/>
          <w:spacing w:val="-3"/>
          <w:w w:val="100"/>
          <w:sz w:val="28"/>
          <w:vertAlign w:val="superscript"/>
          <w:lang w:val="en-US"/>
        </w:rPr>
        <w:t xml:space="preserve">6</w:t>
      </w:r>
      <w:r>
        <w:rPr>
          <w:rFonts w:ascii="Arial" w:hAnsi="Arial" w:eastAsia="Arial"/>
          <w:strike w:val="false"/>
          <w:color w:val="000000"/>
          <w:spacing w:val="-3"/>
          <w:w w:val="100"/>
          <w:sz w:val="28"/>
          <w:vertAlign w:val="baseline"/>
          <w:lang w:val="en-US"/>
        </w:rPr>
        <w:t xml:space="preserve">]</w:t>
      </w:r>
    </w:p>
    <w:p>
      <w:pPr>
        <w:pageBreakBefore w:val="false"/>
        <w:spacing w:before="338" w:after="77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spacing w:before="277" w:after="0" w:line="293" w:lineRule="exact"/>
        <w:ind w:right="0" w:left="288"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3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 (1).</w:t>
      </w:r>
    </w:p>
    <w:p>
      <w:pPr>
        <w:pageBreakBefore w:val="false"/>
        <w:spacing w:before="268" w:after="0" w:line="296" w:lineRule="exact"/>
        <w:ind w:right="0" w:left="288"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 </w:t>
      </w:r>
      <w:r>
        <w:rPr>
          <w:rFonts w:ascii="Arial" w:hAnsi="Arial" w:eastAsia="Arial"/>
          <w:strike w:val="false"/>
          <w:color w:val="000000"/>
          <w:spacing w:val="0"/>
          <w:w w:val="100"/>
          <w:sz w:val="24"/>
          <w:vertAlign w:val="baseline"/>
          <w:lang w:val="en-US"/>
        </w:rPr>
        <w:t xml:space="preserve">Penal Law § 10.00 (9);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75" w:after="0" w:line="289" w:lineRule="exact"/>
        <w:ind w:right="0" w:left="288"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5 </w:t>
      </w:r>
      <w:r>
        <w:rPr>
          <w:rFonts w:ascii="Arial" w:hAnsi="Arial" w:eastAsia="Arial"/>
          <w:strike w:val="false"/>
          <w:color w:val="000000"/>
          <w:spacing w:val="0"/>
          <w:w w:val="100"/>
          <w:sz w:val="24"/>
          <w:vertAlign w:val="baseline"/>
          <w:lang w:val="en-US"/>
        </w:rPr>
        <w:t xml:space="preserve">Penal Law § 240.00 (1).</w:t>
      </w:r>
    </w:p>
    <w:p>
      <w:pPr>
        <w:pageBreakBefore w:val="false"/>
        <w:spacing w:before="268" w:after="0" w:line="298" w:lineRule="exact"/>
        <w:ind w:right="0" w:left="288"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6 </w:t>
      </w:r>
      <w:r>
        <w:rPr>
          <w:rFonts w:ascii="Arial" w:hAnsi="Arial" w:eastAsia="Arial"/>
          <w:strike w:val="false"/>
          <w:color w:val="000000"/>
          <w:spacing w:val="0"/>
          <w:w w:val="100"/>
          <w:sz w:val="24"/>
          <w:vertAlign w:val="baseline"/>
          <w:lang w:val="en-US"/>
        </w:rPr>
        <w:t xml:space="preserve">Penal Law § 240.00 (2).</w:t>
      </w:r>
    </w:p>
    <w:p>
      <w:pPr>
        <w:sectPr>
          <w:footerReference w:type="default" r:id="fId0"/>
          <w:type w:val="nextPage"/>
          <w:pgSz w:w="12240" w:h="15840" w:orient="portrait"/>
          <w:pgMar w:bottom="1312" w:top="1400" w:right="2140" w:left="2160" w:header="720" w:footer="1488"/>
          <w:titlePg w:val="false"/>
          <w:textDirection w:val="lrTb"/>
        </w:sectPr>
      </w:pPr>
    </w:p>
    <w:p>
      <w:pPr>
        <w:pageBreakBefore w:val="false"/>
        <w:numPr>
          <w:ilvl w:val="0"/>
          <w:numId w:val="1"/>
        </w:numPr>
        <w:tabs>
          <w:tab w:val="clear" w:pos="720"/>
          <w:tab w:val="left" w:pos="1440"/>
        </w:tabs>
        <w:spacing w:before="203" w:after="0" w:line="325" w:lineRule="exact"/>
        <w:ind w:right="72" w:left="1440" w:hanging="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w:t>
      </w:r>
      <w:r>
        <w:rPr>
          <w:rFonts w:ascii="Arial" w:hAnsi="Arial" w:eastAsia="Arial"/>
          <w:i w:val="true"/>
          <w:strike w:val="false"/>
          <w:color w:val="000000"/>
          <w:spacing w:val="-5"/>
          <w:w w:val="100"/>
          <w:sz w:val="28"/>
          <w:u w:val="single"/>
          <w:vertAlign w:val="baseline"/>
          <w:lang w:val="en-US"/>
        </w:rPr>
        <w:t xml:space="preserve">(date)</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in the County of </w:t>
      </w:r>
      <w:r>
        <w:rPr>
          <w:rFonts w:ascii="Arial" w:hAnsi="Arial" w:eastAsia="Arial"/>
          <w:i w:val="true"/>
          <w:strike w:val="false"/>
          <w:color w:val="000000"/>
          <w:spacing w:val="-5"/>
          <w:w w:val="100"/>
          <w:sz w:val="28"/>
          <w:u w:val="single"/>
          <w:vertAlign w:val="baseline"/>
          <w:lang w:val="en-US"/>
        </w:rPr>
        <w:t xml:space="preserve">(County)</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the defendant, </w:t>
      </w:r>
      <w:r>
        <w:rPr>
          <w:rFonts w:ascii="Arial" w:hAnsi="Arial" w:eastAsia="Arial"/>
          <w:i w:val="true"/>
          <w:strike w:val="false"/>
          <w:color w:val="000000"/>
          <w:spacing w:val="-5"/>
          <w:w w:val="100"/>
          <w:sz w:val="28"/>
          <w:u w:val="single"/>
          <w:vertAlign w:val="baseline"/>
          <w:lang w:val="en-US"/>
        </w:rPr>
        <w:t xml:space="preserve">(defendant's name)</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harassed </w:t>
      </w:r>
      <w:r>
        <w:rPr>
          <w:rFonts w:ascii="Arial" w:hAnsi="Arial" w:eastAsia="Arial"/>
          <w:i w:val="true"/>
          <w:strike w:val="false"/>
          <w:color w:val="000000"/>
          <w:spacing w:val="-5"/>
          <w:w w:val="100"/>
          <w:sz w:val="28"/>
          <w:u w:val="single"/>
          <w:vertAlign w:val="baseline"/>
          <w:lang w:val="en-US"/>
        </w:rPr>
        <w:t xml:space="preserve">(specify) </w:t>
      </w:r>
      <w:r>
        <w:rPr>
          <w:rFonts w:ascii="Arial" w:hAnsi="Arial" w:eastAsia="Arial"/>
          <w:i w:val="true"/>
          <w:strike w:val="false"/>
          <w:color w:val="000000"/>
          <w:spacing w:val="-5"/>
          <w:w w:val="100"/>
          <w:sz w:val="28"/>
          <w:vertAlign w:val="baseline"/>
          <w:lang w:val="en-US"/>
        </w:rPr>
        <w:t xml:space="preserve"> </w:t>
      </w:r>
      <w:r>
        <w:rPr>
          <w:rFonts w:ascii="Arial" w:hAnsi="Arial" w:eastAsia="Arial"/>
          <w:strike w:val="false"/>
          <w:color w:val="000000"/>
          <w:spacing w:val="-5"/>
          <w:w w:val="100"/>
          <w:sz w:val="28"/>
          <w:vertAlign w:val="baseline"/>
          <w:lang w:val="en-US"/>
        </w:rPr>
        <w:t xml:space="preserve">by repeatedly following </w:t>
      </w:r>
      <w:r>
        <w:rPr>
          <w:rFonts w:ascii="Arial" w:hAnsi="Arial" w:eastAsia="Arial"/>
          <w:i w:val="true"/>
          <w:strike w:val="false"/>
          <w:color w:val="000000"/>
          <w:spacing w:val="-5"/>
          <w:w w:val="100"/>
          <w:sz w:val="28"/>
          <w:u w:val="single"/>
          <w:vertAlign w:val="baseline"/>
          <w:lang w:val="en-US"/>
        </w:rPr>
        <w:t xml:space="preserve">(specify)</w:t>
      </w:r>
      <w:r>
        <w:rPr>
          <w:rFonts w:ascii="Arial" w:hAnsi="Arial" w:eastAsia="Arial"/>
          <w:strike w:val="false"/>
          <w:color w:val="000000"/>
          <w:spacing w:val="-5"/>
          <w:w w:val="100"/>
          <w:sz w:val="28"/>
          <w:vertAlign w:val="baseline"/>
          <w:lang w:val="en-US"/>
        </w:rPr>
        <w:t xml:space="preserve"> in or about a public place or places or by engaging in a course of conduct which placed </w:t>
      </w:r>
      <w:r>
        <w:rPr>
          <w:rFonts w:ascii="Arial" w:hAnsi="Arial" w:eastAsia="Arial"/>
          <w:i w:val="true"/>
          <w:strike w:val="false"/>
          <w:color w:val="000000"/>
          <w:spacing w:val="-5"/>
          <w:w w:val="100"/>
          <w:sz w:val="28"/>
          <w:u w:val="single"/>
          <w:vertAlign w:val="baseline"/>
          <w:lang w:val="en-US"/>
        </w:rPr>
        <w:t xml:space="preserve">(specify)</w:t>
      </w:r>
      <w:r>
        <w:rPr>
          <w:rFonts w:ascii="Arial" w:hAnsi="Arial" w:eastAsia="Arial"/>
          <w:strike w:val="false"/>
          <w:color w:val="000000"/>
          <w:spacing w:val="-5"/>
          <w:w w:val="100"/>
          <w:sz w:val="28"/>
          <w:vertAlign w:val="baseline"/>
          <w:lang w:val="en-US"/>
        </w:rPr>
        <w:t xml:space="preserve"> in reasonable fear of physical injury or by repeatedly committing acts which placed </w:t>
      </w:r>
      <w:r>
        <w:rPr>
          <w:rFonts w:ascii="Arial" w:hAnsi="Arial" w:eastAsia="Arial"/>
          <w:i w:val="true"/>
          <w:strike w:val="false"/>
          <w:color w:val="000000"/>
          <w:spacing w:val="-5"/>
          <w:w w:val="100"/>
          <w:sz w:val="28"/>
          <w:u w:val="single"/>
          <w:vertAlign w:val="baseline"/>
          <w:lang w:val="en-US"/>
        </w:rPr>
        <w:t xml:space="preserve">(specify)</w:t>
      </w:r>
      <w:r>
        <w:rPr>
          <w:rFonts w:ascii="Arial" w:hAnsi="Arial" w:eastAsia="Arial"/>
          <w:strike w:val="false"/>
          <w:color w:val="000000"/>
          <w:spacing w:val="-5"/>
          <w:w w:val="100"/>
          <w:sz w:val="28"/>
          <w:vertAlign w:val="baseline"/>
          <w:lang w:val="en-US"/>
        </w:rPr>
        <w:t xml:space="preserve"> in reasonable fear of physical injury; and</w:t>
      </w:r>
    </w:p>
    <w:p>
      <w:pPr>
        <w:pageBreakBefore w:val="false"/>
        <w:numPr>
          <w:ilvl w:val="0"/>
          <w:numId w:val="1"/>
        </w:numPr>
        <w:tabs>
          <w:tab w:val="clear" w:pos="720"/>
          <w:tab w:val="left" w:pos="1440"/>
        </w:tabs>
        <w:spacing w:before="317" w:after="0" w:line="325" w:lineRule="exact"/>
        <w:ind w:right="72"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the defendant did so intentionally, and with intent to harass, annoy, threaten or alarm </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u w:val="single"/>
          <w:vertAlign w:val="superscript"/>
          <w:lang w:val="en-US"/>
        </w:rPr>
        <w:t xml:space="preserve">7</w:t>
      </w:r>
      <w:r>
        <w:rPr>
          <w:rFonts w:ascii="Arial" w:hAnsi="Arial" w:eastAsia="Arial"/>
          <w:strike w:val="false"/>
          <w:color w:val="000000"/>
          <w:spacing w:val="-4"/>
          <w:w w:val="100"/>
          <w:sz w:val="17"/>
          <w:vertAlign w:val="baseline"/>
          <w:lang w:val="en-US"/>
        </w:rPr>
        <w:t xml:space="preserve">
</w:t>
      </w:r>
    </w:p>
    <w:p>
      <w:pPr>
        <w:pageBreakBefore w:val="false"/>
        <w:spacing w:before="321" w:after="0" w:line="325"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4387" w:line="325"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1" w:after="4387" w:line="325" w:lineRule="exact"/>
        <w:sectPr>
          <w:type w:val="nextPage"/>
          <w:pgSz w:w="12240" w:h="15840" w:orient="portrait"/>
          <w:pgMar w:bottom="1315" w:top="1240" w:right="2075" w:left="2165" w:header="720" w:footer="1483"/>
          <w:titlePg w:val="false"/>
          <w:textDirection w:val="lrTb"/>
        </w:sectPr>
      </w:pPr>
    </w:p>
    <w:p>
      <w:pPr>
        <w:pageBreakBefore w:val="false"/>
        <w:spacing w:before="259" w:after="0" w:line="277" w:lineRule="exact"/>
        <w:ind w:right="0" w:left="0" w:firstLine="720"/>
        <w:jc w:val="both"/>
        <w:textAlignment w:val="baseline"/>
        <w:rPr>
          <w:rFonts w:ascii="Arial" w:hAnsi="Arial" w:eastAsia="Arial"/>
          <w:strike w:val="false"/>
          <w:color w:val="000000"/>
          <w:spacing w:val="-2"/>
          <w:w w:val="100"/>
          <w:sz w:val="14"/>
          <w:vertAlign w:val="superscript"/>
          <w:lang w:val="en-US"/>
        </w:rPr>
      </w:pPr>
      <w:r>
        <w:pict>
          <v:line strokeweight="1.2pt" strokecolor="#000000" from="107.25pt,584.4pt" to="252.05pt,584.4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7</w:t>
      </w:r>
      <w:r>
        <w:rPr>
          <w:rFonts w:ascii="Arial" w:hAnsi="Arial" w:eastAsia="Arial"/>
          <w:strike w:val="false"/>
          <w:color w:val="000000"/>
          <w:spacing w:val="-2"/>
          <w:w w:val="100"/>
          <w:sz w:val="24"/>
          <w:vertAlign w:val="baseline"/>
          <w:lang w:val="en-US"/>
        </w:rPr>
        <w:t xml:space="preserve"> If the defendant has admitted the previous conviction, the crime will consist of only the two elements listed above. If the defendant has denied the previous conviction or has remained mute, add as the third element:</w:t>
      </w:r>
    </w:p>
    <w:p>
      <w:pPr>
        <w:pageBreakBefore w:val="false"/>
        <w:spacing w:before="280" w:after="0" w:line="281" w:lineRule="exact"/>
        <w:ind w:right="0" w:left="720" w:firstLine="0"/>
        <w:jc w:val="both"/>
        <w:textAlignment w:val="baseline"/>
        <w:rPr>
          <w:rFonts w:ascii="Arial" w:hAnsi="Arial" w:eastAsia="Arial"/>
          <w:b w:val="true"/>
          <w:strike w:val="false"/>
          <w:color w:val="000000"/>
          <w:spacing w:val="-2"/>
          <w:w w:val="100"/>
          <w:sz w:val="24"/>
          <w:vertAlign w:val="baseline"/>
          <w:lang w:val="en-US"/>
        </w:rPr>
      </w:pPr>
      <w:r>
        <w:rPr>
          <w:rFonts w:ascii="Arial" w:hAnsi="Arial" w:eastAsia="Arial"/>
          <w:b w:val="true"/>
          <w:strike w:val="false"/>
          <w:color w:val="000000"/>
          <w:spacing w:val="-2"/>
          <w:w w:val="100"/>
          <w:sz w:val="24"/>
          <w:vertAlign w:val="baseline"/>
          <w:lang w:val="en-US"/>
        </w:rPr>
        <w:t xml:space="preserve">“and 3. That the defendant has previously been convicted of the crime of harassment in the first degree within the preceding ten years.”</w:t>
      </w:r>
    </w:p>
    <w:sectPr>
      <w:type w:val="continuous"/>
      <w:pgSz w:w="12240" w:h="15840" w:orient="portrait"/>
      <w:pgMar w:bottom="1315" w:top="1240" w:right="2155" w:left="2145"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0"/>
      </w:tabs>
      <w:spacing w:before="0" w:after="0" w:line="277"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