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ABANDONMENT OF A CHILD</w:t>
        <w:br/>
      </w:r>
      <w:r>
        <w:rPr>
          <w:rFonts w:ascii="Arial" w:hAnsi="Arial" w:eastAsia="Arial"/>
          <w:b w:val="true"/>
          <w:strike w:val="false"/>
          <w:color w:val="000000"/>
          <w:spacing w:val="0"/>
          <w:w w:val="100"/>
          <w:sz w:val="28"/>
          <w:vertAlign w:val="baseline"/>
          <w:lang w:val="en-US"/>
        </w:rPr>
        <w:t xml:space="preserve">Penal Law § 260.00 (1)</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Aug. 30, 2010)</w:t>
      </w:r>
    </w:p>
    <w:p>
      <w:pPr>
        <w:pageBreakBefore w:val="false"/>
        <w:spacing w:before="744" w:after="0" w:line="32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Abandonment of a Child.</w:t>
      </w:r>
    </w:p>
    <w:p>
      <w:pPr>
        <w:pageBreakBefore w:val="false"/>
        <w:spacing w:before="308"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Abandonment of a Child when, being a parent, guardian or other person legally charged with the care or custody of a child</w:t>
      </w:r>
      <w:r>
        <w:rPr>
          <w:rFonts w:ascii="Yu Gothic UI" w:hAnsi="Yu Gothic UI" w:eastAsia="Yu Gothic UI"/>
          <w:b w:val="true"/>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less than fourteen years old, he or she deserts such child in any place with intent to wholly abandon such child.</w:t>
      </w:r>
    </w:p>
    <w:p>
      <w:pPr>
        <w:pageBreakBefore w:val="false"/>
        <w:spacing w:before="519" w:after="0" w:line="375" w:lineRule="exact"/>
        <w:ind w:right="0" w:left="0" w:firstLine="720"/>
        <w:jc w:val="both"/>
        <w:textAlignment w:val="baseline"/>
        <w:rPr>
          <w:rFonts w:ascii="Yu Gothic UI" w:hAnsi="Yu Gothic UI" w:eastAsia="Yu Gothic UI"/>
          <w:b w:val="true"/>
          <w:strike w:val="false"/>
          <w:color w:val="000000"/>
          <w:spacing w:val="0"/>
          <w:w w:val="100"/>
          <w:sz w:val="27"/>
          <w:vertAlign w:val="baseline"/>
          <w:lang w:val="en-US"/>
        </w:rPr>
      </w:pPr>
      <w:r>
        <w:rPr>
          <w:rFonts w:ascii="Yu Gothic UI" w:hAnsi="Yu Gothic UI" w:eastAsia="Yu Gothic UI"/>
          <w:b w:val="true"/>
          <w:strike w:val="false"/>
          <w:color w:val="000000"/>
          <w:spacing w:val="0"/>
          <w:w w:val="100"/>
          <w:sz w:val="27"/>
          <w:vertAlign w:val="baseline"/>
          <w:lang w:val="en-US"/>
        </w:rPr>
        <w:t xml:space="preserve">The following term used in that definition has a special meaning:</w:t>
      </w:r>
    </w:p>
    <w:p>
      <w:pPr>
        <w:pageBreakBefore w:val="false"/>
        <w:spacing w:before="207"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Yu Gothic UI" w:hAnsi="Yu Gothic UI" w:eastAsia="Yu Gothic UI"/>
          <w:b w:val="true"/>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person acts with intent to wholly abandon a child when his or her conscious objective or purpose is to do so.</w:t>
      </w:r>
    </w:p>
    <w:p>
      <w:pPr>
        <w:pageBreakBefore w:val="false"/>
        <w:spacing w:before="516"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 defense to this charge that the actor did not know that the child was less than fourteen (14) years old, or that the actor believed that the child was fourteen (14) years old or more on the date of the crime.</w:t>
      </w:r>
      <w:r>
        <w:rPr>
          <w:rFonts w:ascii="Yu Gothic UI" w:hAnsi="Yu Gothic UI" w:eastAsia="Yu Gothic UI"/>
          <w:b w:val="true"/>
          <w:strike w:val="false"/>
          <w:color w:val="000000"/>
          <w:spacing w:val="0"/>
          <w:w w:val="100"/>
          <w:sz w:val="28"/>
          <w:vertAlign w:val="superscript"/>
          <w:lang w:val="en-US"/>
        </w:rPr>
        <w:t xml:space="preserve">3</w:t>
      </w:r>
      <w:r>
        <w:rPr>
          <w:rFonts w:ascii="Yu Gothic UI" w:hAnsi="Yu Gothic UI" w:eastAsia="Yu Gothic UI"/>
          <w:b w:val="true"/>
          <w:strike w:val="false"/>
          <w:color w:val="000000"/>
          <w:spacing w:val="0"/>
          <w:w w:val="100"/>
          <w:sz w:val="17"/>
          <w:vertAlign w:val="baseline"/>
          <w:lang w:val="en-US"/>
        </w:rPr>
        <w:t xml:space="preserve">
</w:t>
      </w:r>
    </w:p>
    <w:p>
      <w:pPr>
        <w:pageBreakBefore w:val="false"/>
        <w:spacing w:before="219" w:after="0" w:line="320" w:lineRule="exact"/>
        <w:ind w:right="0" w:left="720" w:firstLine="0"/>
        <w:jc w:val="left"/>
        <w:textAlignment w:val="baseline"/>
        <w:rPr>
          <w:rFonts w:ascii="Arial" w:hAnsi="Arial" w:eastAsia="Arial"/>
          <w:strike w:val="false"/>
          <w:color w:val="000000"/>
          <w:spacing w:val="0"/>
          <w:w w:val="100"/>
          <w:sz w:val="28"/>
          <w:u w:val="single"/>
          <w:vertAlign w:val="baseline"/>
          <w:lang w:val="en-US"/>
        </w:rPr>
      </w:pP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Add if applicable: </w:t>
      </w:r>
    </w:p>
    <w:p>
      <w:pPr>
        <w:pageBreakBefore w:val="false"/>
        <w:spacing w:before="0" w:after="849"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not guilty of this crime when:</w:t>
      </w:r>
    </w:p>
    <w:p>
      <w:pPr>
        <w:pageBreakBefore w:val="false"/>
        <w:spacing w:before="254" w:after="0" w:line="276" w:lineRule="exact"/>
        <w:ind w:right="0" w:left="0" w:firstLine="720"/>
        <w:jc w:val="both"/>
        <w:textAlignment w:val="baseline"/>
        <w:rPr>
          <w:rFonts w:ascii="Arial" w:hAnsi="Arial" w:eastAsia="Arial"/>
          <w:strike w:val="false"/>
          <w:color w:val="000000"/>
          <w:spacing w:val="-4"/>
          <w:w w:val="100"/>
          <w:sz w:val="14"/>
          <w:vertAlign w:val="superscript"/>
          <w:lang w:val="en-US"/>
        </w:rPr>
      </w:pPr>
      <w:r>
        <w:pict>
          <v:line strokeweight="0.25pt" strokecolor="#000000" from="108pt,573.1pt" to="252.05pt,573.1pt" style="position:absolute;mso-position-horizontal-relative:page;mso-position-vertical-relative:page;">
            <v:stroke dashstyle="solid"/>
          </v:line>
        </w:pict>
      </w:r>
      <w:r>
        <w:rPr>
          <w:rFonts w:ascii="Arial" w:hAnsi="Arial" w:eastAsia="Arial"/>
          <w:strike w:val="false"/>
          <w:color w:val="000000"/>
          <w:spacing w:val="-4"/>
          <w:w w:val="100"/>
          <w:sz w:val="14"/>
          <w:vertAlign w:val="superscript"/>
          <w:lang w:val="en-US"/>
        </w:rPr>
        <w:t xml:space="preserve">1</w:t>
      </w:r>
      <w:r>
        <w:rPr>
          <w:rFonts w:ascii="Arial" w:hAnsi="Arial" w:eastAsia="Arial"/>
          <w:strike w:val="false"/>
          <w:color w:val="000000"/>
          <w:spacing w:val="-4"/>
          <w:w w:val="100"/>
          <w:sz w:val="24"/>
          <w:vertAlign w:val="baseline"/>
          <w:lang w:val="en-US"/>
        </w:rPr>
        <w:t xml:space="preserve"> The terminology: “other person legally charged with the care and custody of a child,</w:t>
      </w:r>
      <w:r>
        <w:rPr>
          <w:rFonts w:ascii="WP TypographicSymbols" w:hAnsi="WP TypographicSymbols" w:eastAsia="WP TypographicSymbols"/>
          <w:strike w:val="false"/>
          <w:color w:val="000000"/>
          <w:spacing w:val="-4"/>
          <w:w w:val="100"/>
          <w:sz w:val="26"/>
          <w:vertAlign w:val="baseline"/>
          <w:lang w:val="en-US"/>
        </w:rPr>
        <w:t xml:space="preserve">@</w:t>
      </w:r>
      <w:r>
        <w:rPr>
          <w:rFonts w:ascii="Arial" w:hAnsi="Arial" w:eastAsia="Arial"/>
          <w:strike w:val="false"/>
          <w:color w:val="000000"/>
          <w:spacing w:val="-4"/>
          <w:w w:val="100"/>
          <w:sz w:val="24"/>
          <w:vertAlign w:val="baseline"/>
          <w:lang w:val="en-US"/>
        </w:rPr>
        <w:t xml:space="preserve"> is not defined in the statute. In </w:t>
      </w:r>
      <w:r>
        <w:rPr>
          <w:rFonts w:ascii="Arial" w:hAnsi="Arial" w:eastAsia="Arial"/>
          <w:i w:val="true"/>
          <w:strike w:val="false"/>
          <w:color w:val="000000"/>
          <w:spacing w:val="-4"/>
          <w:w w:val="100"/>
          <w:sz w:val="24"/>
          <w:vertAlign w:val="baseline"/>
          <w:lang w:val="en-US"/>
        </w:rPr>
        <w:t xml:space="preserve">People v Carroll, </w:t>
      </w:r>
      <w:r>
        <w:rPr>
          <w:rFonts w:ascii="Arial" w:hAnsi="Arial" w:eastAsia="Arial"/>
          <w:strike w:val="false"/>
          <w:color w:val="000000"/>
          <w:spacing w:val="-4"/>
          <w:w w:val="100"/>
          <w:sz w:val="24"/>
          <w:vertAlign w:val="baseline"/>
          <w:lang w:val="en-US"/>
        </w:rPr>
        <w:t xml:space="preserve">93 NY2d 564, 566 and 568 1999), however, the Court of Appeals agreed with the First Department’s application of the definition of “person legally responsible” in Family Court Act § 1012 (g) to define the term “other person legally charged with the care or custody of a child” in the context of Penal Law § 260.10 (2).</w:t>
      </w:r>
    </w:p>
    <w:p>
      <w:pPr>
        <w:pageBreakBefore w:val="false"/>
        <w:spacing w:before="238"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w:t>
      </w:r>
      <w:r>
        <w:rPr>
          <w:rFonts w:ascii="WP TypographicSymbols" w:hAnsi="WP TypographicSymbols" w:eastAsia="WP TypographicSymbols"/>
          <w:strike w:val="false"/>
          <w:color w:val="000000"/>
          <w:spacing w:val="0"/>
          <w:w w:val="100"/>
          <w:sz w:val="26"/>
          <w:vertAlign w:val="baseline"/>
          <w:lang w:val="en-US"/>
        </w:rPr>
        <w:t xml:space="preserve">'</w:t>
      </w:r>
      <w:r>
        <w:rPr>
          <w:rFonts w:ascii="Arial" w:hAnsi="Arial" w:eastAsia="Arial"/>
          <w:strike w:val="false"/>
          <w:color w:val="000000"/>
          <w:spacing w:val="0"/>
          <w:w w:val="100"/>
          <w:sz w:val="24"/>
          <w:vertAlign w:val="baseline"/>
          <w:lang w:val="en-US"/>
        </w:rPr>
        <w:t xml:space="preserve"> 15.05 (1).</w:t>
      </w:r>
    </w:p>
    <w:p>
      <w:pPr>
        <w:pageBreakBefore w:val="false"/>
        <w:spacing w:before="242"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w:t>
      </w:r>
      <w:r>
        <w:rPr>
          <w:rFonts w:ascii="WP TypographicSymbols" w:hAnsi="WP TypographicSymbols" w:eastAsia="WP TypographicSymbols"/>
          <w:strike w:val="false"/>
          <w:color w:val="000000"/>
          <w:spacing w:val="0"/>
          <w:w w:val="100"/>
          <w:sz w:val="26"/>
          <w:vertAlign w:val="baseline"/>
          <w:lang w:val="en-US"/>
        </w:rPr>
        <w:t xml:space="preserve">'</w:t>
      </w:r>
      <w:r>
        <w:rPr>
          <w:rFonts w:ascii="Arial" w:hAnsi="Arial" w:eastAsia="Arial"/>
          <w:strike w:val="false"/>
          <w:color w:val="000000"/>
          <w:spacing w:val="0"/>
          <w:w w:val="100"/>
          <w:sz w:val="24"/>
          <w:vertAlign w:val="baseline"/>
          <w:lang w:val="en-US"/>
        </w:rPr>
        <w:t xml:space="preserve">15.20 (3).</w:t>
      </w:r>
    </w:p>
    <w:p>
      <w:pPr>
        <w:sectPr>
          <w:type w:val="nextPage"/>
          <w:pgSz w:w="12240" w:h="15840" w:orient="portrait"/>
          <w:pgMar w:bottom="984" w:top="1440" w:right="2140" w:left="2160" w:header="720" w:footer="0"/>
          <w:titlePg w:val="false"/>
          <w:textDirection w:val="lrTb"/>
        </w:sectPr>
      </w:pPr>
    </w:p>
    <w:p>
      <w:pPr>
        <w:pageBreakBefore w:val="false"/>
        <w:spacing w:before="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He or she acts with the intent that the child be safe from physical injury and cared for in an appropriate manner; </w:t>
      </w:r>
      <w:r>
        <w:rPr>
          <w:rFonts w:ascii="Arial" w:hAnsi="Arial" w:eastAsia="Arial"/>
          <w:i w:val="true"/>
          <w:strike w:val="false"/>
          <w:color w:val="000000"/>
          <w:spacing w:val="0"/>
          <w:w w:val="100"/>
          <w:sz w:val="28"/>
          <w:vertAlign w:val="baseline"/>
          <w:lang w:val="en-US"/>
        </w:rPr>
        <w:t xml:space="preserve">and </w:t>
      </w:r>
      <w:r>
        <w:rPr>
          <w:rFonts w:ascii="Arial" w:hAnsi="Arial" w:eastAsia="Arial"/>
          <w:strike w:val="false"/>
          <w:color w:val="000000"/>
          <w:spacing w:val="0"/>
          <w:w w:val="100"/>
          <w:sz w:val="28"/>
          <w:vertAlign w:val="baseline"/>
          <w:lang w:val="en-US"/>
        </w:rPr>
        <w:t xml:space="preserve">(2) the child is left with an appropriate person, or in a suitable location and the person who leaves the child promptly notifies an appropriate person of the child's location; </w:t>
      </w:r>
      <w:r>
        <w:rPr>
          <w:rFonts w:ascii="Arial" w:hAnsi="Arial" w:eastAsia="Arial"/>
          <w:i w:val="true"/>
          <w:strike w:val="false"/>
          <w:color w:val="000000"/>
          <w:spacing w:val="0"/>
          <w:w w:val="100"/>
          <w:sz w:val="28"/>
          <w:vertAlign w:val="baseline"/>
          <w:lang w:val="en-US"/>
        </w:rPr>
        <w:t xml:space="preserve">and </w:t>
      </w:r>
      <w:r>
        <w:rPr>
          <w:rFonts w:ascii="Arial" w:hAnsi="Arial" w:eastAsia="Arial"/>
          <w:strike w:val="false"/>
          <w:color w:val="000000"/>
          <w:spacing w:val="0"/>
          <w:w w:val="100"/>
          <w:sz w:val="28"/>
          <w:vertAlign w:val="baseline"/>
          <w:lang w:val="en-US"/>
        </w:rPr>
        <w:t xml:space="preserve">(3) the child is not more than thirty days old.]</w:t>
      </w:r>
    </w:p>
    <w:p>
      <w:pPr>
        <w:pageBreakBefore w:val="false"/>
        <w:spacing w:before="37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(three/four) elements:</w:t>
      </w:r>
    </w:p>
    <w:p>
      <w:pPr>
        <w:pageBreakBefore w:val="false"/>
        <w:numPr>
          <w:ilvl w:val="0"/>
          <w:numId w:val="1"/>
        </w:numPr>
        <w:tabs>
          <w:tab w:val="clear" w:pos="720"/>
          <w:tab w:val="left" w:pos="1440"/>
        </w:tabs>
        <w:spacing w:before="383" w:after="0" w:line="321" w:lineRule="exact"/>
        <w:ind w:right="0" w:left="1440" w:hanging="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on or about </w:t>
      </w:r>
      <w:r>
        <w:rPr>
          <w:rFonts w:ascii="Arial" w:hAnsi="Arial" w:eastAsia="Arial"/>
          <w:i w:val="true"/>
          <w:strike w:val="false"/>
          <w:color w:val="000000"/>
          <w:spacing w:val="-1"/>
          <w:w w:val="100"/>
          <w:sz w:val="28"/>
          <w:u w:val="single"/>
          <w:vertAlign w:val="baseline"/>
          <w:lang w:val="en-US"/>
        </w:rPr>
        <w:t xml:space="preserve"> (date) </w:t>
      </w:r>
      <w:r>
        <w:rPr>
          <w:rFonts w:ascii="Arial" w:hAnsi="Arial" w:eastAsia="Arial"/>
          <w:strike w:val="false"/>
          <w:color w:val="000000"/>
          <w:spacing w:val="-1"/>
          <w:w w:val="100"/>
          <w:sz w:val="28"/>
          <w:vertAlign w:val="baseline"/>
          <w:lang w:val="en-US"/>
        </w:rPr>
        <w:t xml:space="preserve"> , in the county of </w:t>
      </w:r>
      <w:r>
        <w:rPr>
          <w:rFonts w:ascii="Arial" w:hAnsi="Arial" w:eastAsia="Arial"/>
          <w:i w:val="true"/>
          <w:strike w:val="false"/>
          <w:color w:val="000000"/>
          <w:spacing w:val="-1"/>
          <w:w w:val="100"/>
          <w:sz w:val="28"/>
          <w:u w:val="single"/>
          <w:vertAlign w:val="baseline"/>
          <w:lang w:val="en-US"/>
        </w:rPr>
        <w:t xml:space="preserve"> (County)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the defendant, </w:t>
      </w:r>
      <w:r>
        <w:rPr>
          <w:rFonts w:ascii="Arial" w:hAnsi="Arial" w:eastAsia="Arial"/>
          <w:i w:val="true"/>
          <w:strike w:val="false"/>
          <w:color w:val="000000"/>
          <w:spacing w:val="-1"/>
          <w:w w:val="100"/>
          <w:sz w:val="28"/>
          <w:u w:val="single"/>
          <w:vertAlign w:val="baseline"/>
          <w:lang w:val="en-US"/>
        </w:rPr>
        <w:t xml:space="preserve">(defendant's name)</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deserted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a child less than fourteen years old;</w:t>
      </w:r>
    </w:p>
    <w:p>
      <w:pPr>
        <w:pageBreakBefore w:val="false"/>
        <w:numPr>
          <w:ilvl w:val="0"/>
          <w:numId w:val="1"/>
        </w:numPr>
        <w:tabs>
          <w:tab w:val="clear" w:pos="720"/>
          <w:tab w:val="left" w:pos="1440"/>
        </w:tabs>
        <w:spacing w:before="379"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wholly abandon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72"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the [parent][guardian][other person legally charged with the care or custody]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p>
    <w:p>
      <w:pPr>
        <w:pageBreakBefore w:val="false"/>
        <w:spacing w:before="324" w:after="0" w:line="324" w:lineRule="exact"/>
        <w:ind w:right="0" w:left="720" w:firstLine="0"/>
        <w:jc w:val="left"/>
        <w:textAlignment w:val="baseline"/>
        <w:rPr>
          <w:rFonts w:ascii="Arial" w:hAnsi="Arial" w:eastAsia="Arial"/>
          <w:strike w:val="false"/>
          <w:color w:val="000000"/>
          <w:spacing w:val="3"/>
          <w:w w:val="100"/>
          <w:sz w:val="28"/>
          <w:u w:val="single"/>
          <w:vertAlign w:val="baseline"/>
          <w:lang w:val="en-US"/>
        </w:rPr>
      </w:pP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Add if applicable: </w:t>
      </w:r>
    </w:p>
    <w:p>
      <w:pPr>
        <w:pageBreakBefore w:val="false"/>
        <w:numPr>
          <w:ilvl w:val="0"/>
          <w:numId w:val="1"/>
        </w:numPr>
        <w:tabs>
          <w:tab w:val="clear" w:pos="720"/>
          <w:tab w:val="left" w:pos="1440"/>
        </w:tabs>
        <w:spacing w:before="0" w:after="0" w:line="320"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that the defendant did not act with the intent that the child be safe from physical injury and cared for in an appropriate manner;</w:t>
      </w:r>
    </w:p>
    <w:p>
      <w:pPr>
        <w:pageBreakBefore w:val="false"/>
        <w:spacing w:before="331" w:after="0" w:line="323"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the child was not left with an appropriate person or in a suitable location, or the person who left the child did not promptly notify an appropriate person of the child's location;</w:t>
      </w:r>
    </w:p>
    <w:p>
      <w:pPr>
        <w:pageBreakBefore w:val="false"/>
        <w:spacing w:before="331" w:after="0" w:line="31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the child was more than thirty days old.]</w:t>
      </w:r>
    </w:p>
    <w:p>
      <w:pPr>
        <w:sectPr>
          <w:footerReference w:type="default" r:id="fId0"/>
          <w:type w:val="nextPage"/>
          <w:pgSz w:w="12240" w:h="15840" w:orient="portrait"/>
          <w:pgMar w:bottom="1259" w:top="1440" w:right="2138" w:left="2162" w:header="720" w:footer="1478"/>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440" w:right="2145" w:left="2155" w:header="720" w:footer="147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WP TypographicSymbols">
    <w:charset w:val="00"/>
    <w:pitch w:val="variable"/>
    <w:family w:val="swiss"/>
    <w:panose1 w:val="02020603050405020304"/>
  </w:font>
  <w:font w:name="Yu Gothic UI">
    <w:charset w:val="00"/>
    <w:pitch w:val="variable"/>
    <w:family w:val="swiss"/>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