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2CAEF" w14:textId="77777777" w:rsidR="00431A57" w:rsidRDefault="00702CD9">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ENDANGERING THE WELFARE OF A VULNERABLE </w:t>
      </w:r>
      <w:r>
        <w:rPr>
          <w:rFonts w:ascii="Arial" w:eastAsia="Arial" w:hAnsi="Arial"/>
          <w:b/>
          <w:color w:val="000000"/>
          <w:sz w:val="28"/>
        </w:rPr>
        <w:br/>
        <w:t xml:space="preserve">ELDERLY PERSON OR AN INCOMPETENT OR </w:t>
      </w:r>
      <w:r>
        <w:rPr>
          <w:rFonts w:ascii="Arial" w:eastAsia="Arial" w:hAnsi="Arial"/>
          <w:b/>
          <w:color w:val="000000"/>
          <w:sz w:val="28"/>
        </w:rPr>
        <w:br/>
        <w:t xml:space="preserve">PHYSICALLY DISABLED PERSON IN THE SECOND </w:t>
      </w:r>
      <w:r>
        <w:rPr>
          <w:rFonts w:ascii="Arial" w:eastAsia="Arial" w:hAnsi="Arial"/>
          <w:b/>
          <w:color w:val="000000"/>
          <w:sz w:val="28"/>
        </w:rPr>
        <w:br/>
        <w:t>DEGREE</w:t>
      </w:r>
      <w:r>
        <w:rPr>
          <w:rFonts w:ascii="Arial" w:eastAsia="Arial" w:hAnsi="Arial"/>
          <w:b/>
          <w:color w:val="000000"/>
          <w:sz w:val="28"/>
          <w:vertAlign w:val="superscript"/>
        </w:rPr>
        <w:t>1</w:t>
      </w:r>
      <w:r>
        <w:rPr>
          <w:rFonts w:ascii="Arial" w:eastAsia="Arial" w:hAnsi="Arial"/>
          <w:b/>
          <w:color w:val="000000"/>
          <w:sz w:val="17"/>
        </w:rPr>
        <w:t xml:space="preserve"> </w:t>
      </w:r>
      <w:r>
        <w:rPr>
          <w:rFonts w:ascii="Arial" w:eastAsia="Arial" w:hAnsi="Arial"/>
          <w:b/>
          <w:color w:val="000000"/>
          <w:sz w:val="17"/>
        </w:rPr>
        <w:br/>
      </w:r>
      <w:r>
        <w:rPr>
          <w:rFonts w:ascii="Arial" w:eastAsia="Arial" w:hAnsi="Arial"/>
          <w:b/>
          <w:color w:val="000000"/>
          <w:sz w:val="28"/>
        </w:rPr>
        <w:t xml:space="preserve">(Physical Injury; Criminal Negligence; Weapon) </w:t>
      </w:r>
      <w:r>
        <w:rPr>
          <w:rFonts w:ascii="Arial" w:eastAsia="Arial" w:hAnsi="Arial"/>
          <w:b/>
          <w:color w:val="000000"/>
          <w:sz w:val="28"/>
        </w:rPr>
        <w:br/>
        <w:t>Penal Law § 260.32(3)</w:t>
      </w:r>
    </w:p>
    <w:p w14:paraId="6032CAF0" w14:textId="77777777" w:rsidR="00431A57" w:rsidRDefault="00702CD9">
      <w:pPr>
        <w:spacing w:before="331" w:line="331" w:lineRule="exact"/>
        <w:jc w:val="center"/>
        <w:textAlignment w:val="baseline"/>
        <w:rPr>
          <w:rFonts w:ascii="Arial" w:eastAsia="Arial" w:hAnsi="Arial"/>
          <w:b/>
          <w:color w:val="000000"/>
          <w:sz w:val="28"/>
        </w:rPr>
      </w:pPr>
      <w:r>
        <w:rPr>
          <w:rFonts w:ascii="Arial" w:eastAsia="Arial" w:hAnsi="Arial"/>
          <w:b/>
          <w:color w:val="000000"/>
          <w:sz w:val="28"/>
        </w:rPr>
        <w:t xml:space="preserve">(Committed on or after Nov. 1, 1998 </w:t>
      </w:r>
      <w:r>
        <w:rPr>
          <w:rFonts w:ascii="Arial" w:eastAsia="Arial" w:hAnsi="Arial"/>
          <w:b/>
          <w:color w:val="000000"/>
          <w:sz w:val="28"/>
        </w:rPr>
        <w:br/>
        <w:t>for Vulnerable Elderly Person)</w:t>
      </w:r>
    </w:p>
    <w:p w14:paraId="6032CAF1" w14:textId="77777777" w:rsidR="00431A57" w:rsidRDefault="00702CD9">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(Committed on or after May 22, 2010 </w:t>
      </w:r>
      <w:r>
        <w:rPr>
          <w:rFonts w:ascii="Arial" w:eastAsia="Arial" w:hAnsi="Arial"/>
          <w:b/>
          <w:color w:val="000000"/>
          <w:sz w:val="28"/>
        </w:rPr>
        <w:br/>
        <w:t>for Incompetent or Physically Disabled Person)</w:t>
      </w:r>
    </w:p>
    <w:p w14:paraId="6032CAF2" w14:textId="0F3C1871" w:rsidR="00431A57" w:rsidRDefault="00702CD9">
      <w:pPr>
        <w:spacing w:before="645" w:line="326"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xml:space="preserve">) count is Endangering the Welfare of a Vulnerable Elderly Person, </w:t>
      </w:r>
      <w:r w:rsidR="00342D1E">
        <w:rPr>
          <w:rFonts w:ascii="Arial" w:eastAsia="Arial" w:hAnsi="Arial"/>
          <w:color w:val="000000"/>
          <w:sz w:val="28"/>
        </w:rPr>
        <w:t>o</w:t>
      </w:r>
      <w:r>
        <w:rPr>
          <w:rFonts w:ascii="Arial" w:eastAsia="Arial" w:hAnsi="Arial"/>
          <w:color w:val="000000"/>
          <w:sz w:val="28"/>
        </w:rPr>
        <w:t xml:space="preserve">r </w:t>
      </w:r>
      <w:r w:rsidR="00342D1E">
        <w:rPr>
          <w:rFonts w:ascii="Arial" w:eastAsia="Arial" w:hAnsi="Arial"/>
          <w:color w:val="000000"/>
          <w:sz w:val="28"/>
        </w:rPr>
        <w:t>a</w:t>
      </w:r>
      <w:r>
        <w:rPr>
          <w:rFonts w:ascii="Arial" w:eastAsia="Arial" w:hAnsi="Arial"/>
          <w:color w:val="000000"/>
          <w:sz w:val="28"/>
        </w:rPr>
        <w:t>n Incompetent or Phys</w:t>
      </w:r>
      <w:r>
        <w:rPr>
          <w:rFonts w:ascii="Arial" w:eastAsia="Arial" w:hAnsi="Arial"/>
          <w:color w:val="000000"/>
          <w:sz w:val="28"/>
        </w:rPr>
        <w:t>ically Disabled Person in the Second Degree.</w:t>
      </w:r>
    </w:p>
    <w:p w14:paraId="6032CAF3" w14:textId="04F1ACA1" w:rsidR="00431A57" w:rsidRDefault="00702CD9">
      <w:pPr>
        <w:spacing w:before="326"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Under our law, a person is guilty of Endangering the Welfare of a Vulnerable Elderly Person, </w:t>
      </w:r>
      <w:r w:rsidR="00342D1E">
        <w:rPr>
          <w:rFonts w:ascii="Arial" w:eastAsia="Arial" w:hAnsi="Arial"/>
          <w:color w:val="000000"/>
          <w:sz w:val="28"/>
        </w:rPr>
        <w:t>o</w:t>
      </w:r>
      <w:r>
        <w:rPr>
          <w:rFonts w:ascii="Arial" w:eastAsia="Arial" w:hAnsi="Arial"/>
          <w:color w:val="000000"/>
          <w:sz w:val="28"/>
        </w:rPr>
        <w:t xml:space="preserve">r </w:t>
      </w:r>
      <w:r w:rsidR="00342D1E">
        <w:rPr>
          <w:rFonts w:ascii="Arial" w:eastAsia="Arial" w:hAnsi="Arial"/>
          <w:color w:val="000000"/>
          <w:sz w:val="28"/>
        </w:rPr>
        <w:t>a</w:t>
      </w:r>
      <w:r>
        <w:rPr>
          <w:rFonts w:ascii="Arial" w:eastAsia="Arial" w:hAnsi="Arial"/>
          <w:color w:val="000000"/>
          <w:sz w:val="28"/>
        </w:rPr>
        <w:t>n Incompetent or Physically Disabled Person in the Second Degree when, being a caregiver for</w:t>
      </w:r>
    </w:p>
    <w:p w14:paraId="6032CAF4" w14:textId="77777777" w:rsidR="00431A57" w:rsidRDefault="00702CD9">
      <w:pPr>
        <w:spacing w:before="328" w:line="319" w:lineRule="exact"/>
        <w:ind w:left="720"/>
        <w:textAlignment w:val="baseline"/>
        <w:rPr>
          <w:rFonts w:ascii="Arial" w:eastAsia="Arial" w:hAnsi="Arial"/>
          <w:i/>
          <w:color w:val="000000"/>
          <w:sz w:val="28"/>
          <w:u w:val="single"/>
        </w:rPr>
      </w:pPr>
      <w:r>
        <w:rPr>
          <w:rFonts w:ascii="Arial" w:eastAsia="Arial" w:hAnsi="Arial"/>
          <w:i/>
          <w:color w:val="000000"/>
          <w:sz w:val="28"/>
          <w:u w:val="single"/>
        </w:rPr>
        <w:t>Select appropriate al</w:t>
      </w:r>
      <w:r>
        <w:rPr>
          <w:rFonts w:ascii="Arial" w:eastAsia="Arial" w:hAnsi="Arial"/>
          <w:i/>
          <w:color w:val="000000"/>
          <w:sz w:val="28"/>
          <w:u w:val="single"/>
        </w:rPr>
        <w:t>ternative(s):</w:t>
      </w:r>
    </w:p>
    <w:p w14:paraId="6032CAF5" w14:textId="77777777" w:rsidR="00431A57" w:rsidRDefault="00702CD9">
      <w:pPr>
        <w:spacing w:before="329" w:line="320" w:lineRule="exact"/>
        <w:ind w:left="720"/>
        <w:textAlignment w:val="baseline"/>
        <w:rPr>
          <w:rFonts w:ascii="Arial" w:eastAsia="Arial" w:hAnsi="Arial"/>
          <w:color w:val="000000"/>
          <w:sz w:val="28"/>
        </w:rPr>
      </w:pPr>
      <w:r>
        <w:rPr>
          <w:rFonts w:ascii="Arial" w:eastAsia="Arial" w:hAnsi="Arial"/>
          <w:color w:val="000000"/>
          <w:sz w:val="28"/>
        </w:rPr>
        <w:t>a vulnerable elderly person</w:t>
      </w:r>
    </w:p>
    <w:p w14:paraId="6032CAF6" w14:textId="77777777" w:rsidR="00431A57" w:rsidRDefault="00702CD9">
      <w:pPr>
        <w:spacing w:before="323" w:after="228" w:line="320" w:lineRule="exact"/>
        <w:ind w:left="720"/>
        <w:textAlignment w:val="baseline"/>
        <w:rPr>
          <w:rFonts w:ascii="Arial" w:eastAsia="Arial" w:hAnsi="Arial"/>
          <w:color w:val="000000"/>
          <w:spacing w:val="-5"/>
          <w:sz w:val="28"/>
        </w:rPr>
      </w:pPr>
      <w:r>
        <w:rPr>
          <w:rFonts w:ascii="Arial" w:eastAsia="Arial" w:hAnsi="Arial"/>
          <w:color w:val="000000"/>
          <w:spacing w:val="-5"/>
          <w:sz w:val="28"/>
        </w:rPr>
        <w:t>[or]</w:t>
      </w:r>
    </w:p>
    <w:p w14:paraId="6032CAF7" w14:textId="77777777" w:rsidR="00431A57" w:rsidRDefault="00702CD9">
      <w:pPr>
        <w:spacing w:before="266" w:line="275" w:lineRule="exact"/>
        <w:ind w:firstLine="720"/>
        <w:jc w:val="both"/>
        <w:textAlignment w:val="baseline"/>
        <w:rPr>
          <w:rFonts w:ascii="Arial" w:eastAsia="Arial" w:hAnsi="Arial"/>
          <w:color w:val="000000"/>
          <w:spacing w:val="-3"/>
          <w:sz w:val="14"/>
          <w:vertAlign w:val="superscript"/>
        </w:rPr>
      </w:pPr>
      <w:r>
        <w:pict w14:anchorId="6032CB29">
          <v:line id="_x0000_s1029" style="position:absolute;left:0;text-align:left;z-index:251656192;mso-position-horizontal-relative:page;mso-position-vertical-relative:page" from="108pt,542.4pt" to="252.05pt,542.4pt" strokeweight=".95pt">
            <w10:wrap anchorx="page" anchory="page"/>
          </v:line>
        </w:pict>
      </w:r>
      <w:r>
        <w:rPr>
          <w:rFonts w:ascii="Arial" w:eastAsia="Arial" w:hAnsi="Arial"/>
          <w:color w:val="000000"/>
          <w:spacing w:val="-3"/>
          <w:sz w:val="14"/>
          <w:vertAlign w:val="superscript"/>
        </w:rPr>
        <w:t>1</w:t>
      </w:r>
      <w:r>
        <w:rPr>
          <w:rFonts w:ascii="Arial" w:eastAsia="Arial" w:hAnsi="Arial"/>
          <w:color w:val="000000"/>
          <w:spacing w:val="-3"/>
          <w:sz w:val="24"/>
        </w:rPr>
        <w:t xml:space="preserve"> The crime of “endangering the welfare of a vulnerable elderly person” was added by the Laws of 1998, chapter 381, effective Nov. 1, 1998. In 2010, the crime was renamed to add the words "Or </w:t>
      </w:r>
      <w:proofErr w:type="gramStart"/>
      <w:r>
        <w:rPr>
          <w:rFonts w:ascii="Arial" w:eastAsia="Arial" w:hAnsi="Arial"/>
          <w:color w:val="000000"/>
          <w:spacing w:val="-3"/>
          <w:sz w:val="24"/>
        </w:rPr>
        <w:t>An</w:t>
      </w:r>
      <w:proofErr w:type="gramEnd"/>
      <w:r>
        <w:rPr>
          <w:rFonts w:ascii="Arial" w:eastAsia="Arial" w:hAnsi="Arial"/>
          <w:color w:val="000000"/>
          <w:spacing w:val="-3"/>
          <w:sz w:val="24"/>
        </w:rPr>
        <w:t xml:space="preserve"> Incompetent or Physically Disabled Person" and the definition </w:t>
      </w:r>
      <w:r>
        <w:rPr>
          <w:rFonts w:ascii="Arial" w:eastAsia="Arial" w:hAnsi="Arial"/>
          <w:color w:val="000000"/>
          <w:spacing w:val="-3"/>
          <w:sz w:val="24"/>
        </w:rPr>
        <w:t>of the crime was amended to include "an incompetent or physically disabled person." L. 2010, ch. 14, effective May 22, 2010. This charge was thereafter revised to account for the 2010 amendments. Thus, with respect solely to the crime of “endangering the w</w:t>
      </w:r>
      <w:r>
        <w:rPr>
          <w:rFonts w:ascii="Arial" w:eastAsia="Arial" w:hAnsi="Arial"/>
          <w:color w:val="000000"/>
          <w:spacing w:val="-3"/>
          <w:sz w:val="24"/>
        </w:rPr>
        <w:t xml:space="preserve">elfare of a vulnerable elderly person,” this charge is applicable to any such crime committed on or after November 1, 1998. With respect to the crime of “endangering the welfare of a vulnerable elderly person” and/or “an incompetent or physically disabled </w:t>
      </w:r>
      <w:r>
        <w:rPr>
          <w:rFonts w:ascii="Arial" w:eastAsia="Arial" w:hAnsi="Arial"/>
          <w:color w:val="000000"/>
          <w:spacing w:val="-3"/>
          <w:sz w:val="24"/>
        </w:rPr>
        <w:t>person,” this charge is applicable to any such crime committed on or after May 22, 2010.</w:t>
      </w:r>
    </w:p>
    <w:p w14:paraId="6032CAF8" w14:textId="77777777" w:rsidR="00431A57" w:rsidRDefault="00431A57">
      <w:pPr>
        <w:sectPr w:rsidR="00431A57">
          <w:pgSz w:w="12240" w:h="15840"/>
          <w:pgMar w:top="1440" w:right="2140" w:bottom="1024" w:left="2160" w:header="720" w:footer="0" w:gutter="0"/>
          <w:cols w:space="720"/>
        </w:sectPr>
      </w:pPr>
    </w:p>
    <w:p w14:paraId="6032CAF9" w14:textId="77777777" w:rsidR="00431A57" w:rsidRDefault="00702CD9">
      <w:pPr>
        <w:spacing w:before="15" w:line="318" w:lineRule="exact"/>
        <w:ind w:left="720"/>
        <w:textAlignment w:val="baseline"/>
        <w:rPr>
          <w:rFonts w:ascii="Arial" w:eastAsia="Arial" w:hAnsi="Arial"/>
          <w:color w:val="000000"/>
          <w:sz w:val="28"/>
        </w:rPr>
      </w:pPr>
      <w:r>
        <w:rPr>
          <w:rFonts w:ascii="Arial" w:eastAsia="Arial" w:hAnsi="Arial"/>
          <w:color w:val="000000"/>
          <w:sz w:val="28"/>
        </w:rPr>
        <w:lastRenderedPageBreak/>
        <w:t>an incompetent or physically disabled person</w:t>
      </w:r>
    </w:p>
    <w:p w14:paraId="6032CAFA" w14:textId="77777777" w:rsidR="00431A57" w:rsidRDefault="00702CD9">
      <w:pPr>
        <w:spacing w:before="324" w:line="324" w:lineRule="exact"/>
        <w:jc w:val="both"/>
        <w:textAlignment w:val="baseline"/>
        <w:rPr>
          <w:rFonts w:ascii="Arial" w:eastAsia="Arial" w:hAnsi="Arial"/>
          <w:color w:val="000000"/>
          <w:sz w:val="28"/>
        </w:rPr>
      </w:pPr>
      <w:r>
        <w:rPr>
          <w:rFonts w:ascii="Arial" w:eastAsia="Arial" w:hAnsi="Arial"/>
          <w:color w:val="000000"/>
          <w:sz w:val="28"/>
        </w:rPr>
        <w:t>with criminal negligence, he or she causes physical injury to such person by means of a deadly weapon [</w:t>
      </w:r>
      <w:r>
        <w:rPr>
          <w:rFonts w:ascii="Arial" w:eastAsia="Arial" w:hAnsi="Arial"/>
          <w:i/>
          <w:color w:val="000000"/>
          <w:sz w:val="28"/>
        </w:rPr>
        <w:t xml:space="preserve">or </w:t>
      </w:r>
      <w:r>
        <w:rPr>
          <w:rFonts w:ascii="Arial" w:eastAsia="Arial" w:hAnsi="Arial"/>
          <w:color w:val="000000"/>
          <w:sz w:val="28"/>
        </w:rPr>
        <w:t>a dangerous instrument].</w:t>
      </w:r>
    </w:p>
    <w:p w14:paraId="6032CAFB" w14:textId="77777777" w:rsidR="00431A57" w:rsidRDefault="00702CD9">
      <w:pPr>
        <w:spacing w:before="317" w:line="326"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6032CAFC" w14:textId="77777777" w:rsidR="00431A57" w:rsidRDefault="00702CD9">
      <w:pPr>
        <w:spacing w:before="327" w:line="32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 xml:space="preserve">[VULNERABLE ELDERLY PERSON means a person sixty years of </w:t>
      </w:r>
      <w:r>
        <w:rPr>
          <w:rFonts w:ascii="Arial" w:eastAsia="Arial" w:hAnsi="Arial"/>
          <w:color w:val="000000"/>
          <w:spacing w:val="-2"/>
          <w:sz w:val="28"/>
        </w:rPr>
        <w:t xml:space="preserve">age or older who is suffering from a disease or infirmity associated with advanced age and manifested by demonstrable physical, mental or emotional dysfunction to the extent that the person is incapable of adequately providing for his or her own health or </w:t>
      </w:r>
      <w:r>
        <w:rPr>
          <w:rFonts w:ascii="Arial" w:eastAsia="Arial" w:hAnsi="Arial"/>
          <w:color w:val="000000"/>
          <w:spacing w:val="-2"/>
          <w:sz w:val="28"/>
        </w:rPr>
        <w:t>personal care.</w:t>
      </w:r>
      <w:r>
        <w:rPr>
          <w:rFonts w:ascii="Arial" w:eastAsia="Arial" w:hAnsi="Arial"/>
          <w:color w:val="000000"/>
          <w:spacing w:val="-2"/>
          <w:sz w:val="28"/>
          <w:vertAlign w:val="superscript"/>
        </w:rPr>
        <w:t>2</w:t>
      </w:r>
      <w:r>
        <w:rPr>
          <w:rFonts w:ascii="Arial" w:eastAsia="Arial" w:hAnsi="Arial"/>
          <w:color w:val="000000"/>
          <w:spacing w:val="-2"/>
          <w:sz w:val="28"/>
        </w:rPr>
        <w:t>]</w:t>
      </w:r>
    </w:p>
    <w:p w14:paraId="6032CAFD" w14:textId="77777777" w:rsidR="00431A57" w:rsidRDefault="00702CD9">
      <w:pPr>
        <w:spacing w:before="324" w:line="325" w:lineRule="exact"/>
        <w:ind w:firstLine="720"/>
        <w:jc w:val="both"/>
        <w:textAlignment w:val="baseline"/>
        <w:rPr>
          <w:rFonts w:ascii="Arial" w:eastAsia="Arial" w:hAnsi="Arial"/>
          <w:color w:val="000000"/>
          <w:sz w:val="28"/>
        </w:rPr>
      </w:pPr>
      <w:r>
        <w:rPr>
          <w:rFonts w:ascii="Arial" w:eastAsia="Arial" w:hAnsi="Arial"/>
          <w:color w:val="000000"/>
          <w:sz w:val="28"/>
        </w:rPr>
        <w:t>[INCOMPETENT OR PHYSICALLY DISABLED PERSON means an individual who is unable to care for himself or herself because of physical disability, mental disease or defect.</w:t>
      </w:r>
      <w:r>
        <w:rPr>
          <w:rFonts w:ascii="Arial" w:eastAsia="Arial" w:hAnsi="Arial"/>
          <w:color w:val="000000"/>
          <w:sz w:val="28"/>
          <w:vertAlign w:val="superscript"/>
        </w:rPr>
        <w:t>3</w:t>
      </w:r>
      <w:r>
        <w:rPr>
          <w:rFonts w:ascii="Arial" w:eastAsia="Arial" w:hAnsi="Arial"/>
          <w:color w:val="000000"/>
          <w:sz w:val="28"/>
        </w:rPr>
        <w:t>]</w:t>
      </w:r>
    </w:p>
    <w:p w14:paraId="6032CAFE" w14:textId="77777777" w:rsidR="00431A57" w:rsidRDefault="00702CD9">
      <w:pPr>
        <w:spacing w:before="334" w:line="321" w:lineRule="exact"/>
        <w:ind w:firstLine="720"/>
        <w:jc w:val="both"/>
        <w:textAlignment w:val="baseline"/>
        <w:rPr>
          <w:rFonts w:ascii="Arial" w:eastAsia="Arial" w:hAnsi="Arial"/>
          <w:color w:val="000000"/>
          <w:sz w:val="28"/>
        </w:rPr>
      </w:pPr>
      <w:r>
        <w:rPr>
          <w:rFonts w:ascii="Arial" w:eastAsia="Arial" w:hAnsi="Arial"/>
          <w:color w:val="000000"/>
          <w:sz w:val="28"/>
        </w:rPr>
        <w:t>CAREGIVER means a person who assumes responsibility for the care of a vulnerable elderly</w:t>
      </w:r>
      <w:r>
        <w:rPr>
          <w:rFonts w:ascii="Arial" w:eastAsia="Arial" w:hAnsi="Arial"/>
          <w:color w:val="000000"/>
          <w:sz w:val="28"/>
        </w:rPr>
        <w:t xml:space="preserve"> person, or an incompetent or physically disabled person pursuant to a court order or receives monetary or other valuable consideration for providing care for a vulnerable elderly person, or an incompetent or physically disabled person.</w:t>
      </w:r>
      <w:r>
        <w:rPr>
          <w:rFonts w:ascii="Arial" w:eastAsia="Arial" w:hAnsi="Arial"/>
          <w:color w:val="000000"/>
          <w:sz w:val="28"/>
          <w:vertAlign w:val="superscript"/>
        </w:rPr>
        <w:t>4</w:t>
      </w:r>
      <w:r>
        <w:rPr>
          <w:rFonts w:ascii="Arial" w:eastAsia="Arial" w:hAnsi="Arial"/>
          <w:color w:val="000000"/>
          <w:sz w:val="17"/>
        </w:rPr>
        <w:t xml:space="preserve"> </w:t>
      </w:r>
    </w:p>
    <w:p w14:paraId="6032CAFF" w14:textId="77777777" w:rsidR="00431A57" w:rsidRDefault="00702CD9">
      <w:pPr>
        <w:spacing w:before="336" w:after="621" w:line="320" w:lineRule="exact"/>
        <w:ind w:firstLine="720"/>
        <w:jc w:val="both"/>
        <w:textAlignment w:val="baseline"/>
        <w:rPr>
          <w:rFonts w:ascii="Arial" w:eastAsia="Arial" w:hAnsi="Arial"/>
          <w:color w:val="000000"/>
          <w:sz w:val="28"/>
        </w:rPr>
      </w:pPr>
      <w:r>
        <w:rPr>
          <w:rFonts w:ascii="Arial" w:eastAsia="Arial" w:hAnsi="Arial"/>
          <w:color w:val="000000"/>
          <w:sz w:val="28"/>
        </w:rPr>
        <w:t>PHYSICAL INJURY m</w:t>
      </w:r>
      <w:r>
        <w:rPr>
          <w:rFonts w:ascii="Arial" w:eastAsia="Arial" w:hAnsi="Arial"/>
          <w:color w:val="000000"/>
          <w:sz w:val="28"/>
        </w:rPr>
        <w:t>eans impairment of physical condition or substantial pain.</w:t>
      </w:r>
      <w:r>
        <w:rPr>
          <w:rFonts w:ascii="Arial" w:eastAsia="Arial" w:hAnsi="Arial"/>
          <w:color w:val="000000"/>
          <w:sz w:val="28"/>
          <w:vertAlign w:val="superscript"/>
        </w:rPr>
        <w:t>5</w:t>
      </w:r>
      <w:r>
        <w:rPr>
          <w:rFonts w:ascii="Arial" w:eastAsia="Arial" w:hAnsi="Arial"/>
          <w:color w:val="000000"/>
          <w:sz w:val="17"/>
        </w:rPr>
        <w:t xml:space="preserve"> </w:t>
      </w:r>
    </w:p>
    <w:p w14:paraId="6032CB00" w14:textId="77777777" w:rsidR="00431A57" w:rsidRDefault="00702CD9">
      <w:pPr>
        <w:spacing w:before="257" w:line="274" w:lineRule="exact"/>
        <w:ind w:left="720"/>
        <w:textAlignment w:val="baseline"/>
        <w:rPr>
          <w:rFonts w:ascii="Arial" w:eastAsia="Arial" w:hAnsi="Arial"/>
          <w:color w:val="000000"/>
          <w:sz w:val="14"/>
          <w:vertAlign w:val="superscript"/>
        </w:rPr>
      </w:pPr>
      <w:r>
        <w:pict w14:anchorId="6032CB2A">
          <v:line id="_x0000_s1028" style="position:absolute;left:0;text-align:left;z-index:251657216;mso-position-horizontal-relative:page;mso-position-vertical-relative:page" from="108pt,589.7pt" to="252.05pt,589.7pt" strokeweight="1.2pt">
            <w10:wrap anchorx="page" anchory="page"/>
          </v:line>
        </w:pict>
      </w:r>
      <w:r>
        <w:rPr>
          <w:rFonts w:ascii="Arial" w:eastAsia="Arial" w:hAnsi="Arial"/>
          <w:color w:val="000000"/>
          <w:sz w:val="14"/>
          <w:vertAlign w:val="superscript"/>
        </w:rPr>
        <w:t>2</w:t>
      </w:r>
      <w:r>
        <w:rPr>
          <w:rFonts w:ascii="Arial" w:eastAsia="Arial" w:hAnsi="Arial"/>
          <w:color w:val="000000"/>
          <w:sz w:val="24"/>
        </w:rPr>
        <w:t xml:space="preserve"> Penal Law § 260.30(3).</w:t>
      </w:r>
    </w:p>
    <w:p w14:paraId="6032CB01" w14:textId="77777777" w:rsidR="00431A57" w:rsidRDefault="00702CD9">
      <w:pPr>
        <w:spacing w:before="245" w:line="274"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Penal Law § 260.31(4).</w:t>
      </w:r>
    </w:p>
    <w:p w14:paraId="6032CB02" w14:textId="77777777" w:rsidR="00431A57" w:rsidRDefault="00702CD9">
      <w:pPr>
        <w:spacing w:before="239" w:line="274"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Penal Law § 260.30(1).</w:t>
      </w:r>
    </w:p>
    <w:p w14:paraId="6032CB03" w14:textId="77777777" w:rsidR="00431A57" w:rsidRDefault="00702CD9">
      <w:pPr>
        <w:spacing w:line="533" w:lineRule="exact"/>
        <w:ind w:left="3888" w:hanging="3168"/>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color w:val="000000"/>
          <w:sz w:val="24"/>
        </w:rPr>
        <w:t xml:space="preserve"> Penal Law § 10.00(9); </w:t>
      </w:r>
      <w:r>
        <w:rPr>
          <w:rFonts w:ascii="Arial" w:eastAsia="Arial" w:hAnsi="Arial"/>
          <w:i/>
          <w:color w:val="000000"/>
          <w:sz w:val="24"/>
        </w:rPr>
        <w:t>See People v. Chiddick</w:t>
      </w:r>
      <w:r>
        <w:rPr>
          <w:rFonts w:ascii="Arial" w:eastAsia="Arial" w:hAnsi="Arial"/>
          <w:color w:val="000000"/>
          <w:sz w:val="24"/>
        </w:rPr>
        <w:t xml:space="preserve">, 8 NY3d 445 (2007). </w:t>
      </w:r>
      <w:r>
        <w:rPr>
          <w:rFonts w:ascii="Arial" w:eastAsia="Arial" w:hAnsi="Arial"/>
          <w:color w:val="000000"/>
          <w:sz w:val="26"/>
        </w:rPr>
        <w:t>2</w:t>
      </w:r>
    </w:p>
    <w:p w14:paraId="6032CB04" w14:textId="77777777" w:rsidR="00431A57" w:rsidRDefault="00431A57">
      <w:pPr>
        <w:sectPr w:rsidR="00431A57">
          <w:pgSz w:w="12240" w:h="15840"/>
          <w:pgMar w:top="1760" w:right="2140" w:bottom="1024" w:left="2160" w:header="720" w:footer="0" w:gutter="0"/>
          <w:cols w:space="720"/>
        </w:sectPr>
      </w:pPr>
    </w:p>
    <w:p w14:paraId="6032CB05" w14:textId="0F82665E" w:rsidR="00431A57" w:rsidRDefault="00702CD9">
      <w:pPr>
        <w:spacing w:before="3" w:line="325" w:lineRule="exact"/>
        <w:ind w:firstLine="720"/>
        <w:jc w:val="both"/>
        <w:textAlignment w:val="baseline"/>
        <w:rPr>
          <w:rFonts w:ascii="Arial" w:eastAsia="Arial" w:hAnsi="Arial"/>
          <w:color w:val="000000"/>
          <w:spacing w:val="-3"/>
          <w:sz w:val="28"/>
        </w:rPr>
      </w:pPr>
      <w:r>
        <w:lastRenderedPageBreak/>
        <w:pict w14:anchorId="6032CB2B">
          <v:line id="_x0000_s1027" style="position:absolute;left:0;text-align:left;z-index:251658240;mso-position-horizontal-relative:page;mso-position-vertical-relative:page" from="107.8pt,653.3pt" to="252.05pt,653.3pt" strokeweight="1.2pt">
            <w10:wrap anchorx="page" anchory="page"/>
          </v:line>
        </w:pict>
      </w:r>
      <w:r>
        <w:rPr>
          <w:rFonts w:ascii="Arial" w:eastAsia="Arial" w:hAnsi="Arial"/>
          <w:color w:val="000000"/>
          <w:spacing w:val="-3"/>
          <w:sz w:val="28"/>
        </w:rPr>
        <w:t>CRIMINAL NEGLIGENCE is not the same as that type of negligence you may be familiar with that permits a person injured by ordinary negligence to obtain a monetary judgment in a civil law</w:t>
      </w:r>
      <w:r>
        <w:rPr>
          <w:rFonts w:ascii="Arial" w:eastAsia="Arial" w:hAnsi="Arial"/>
          <w:color w:val="000000"/>
          <w:spacing w:val="-3"/>
          <w:sz w:val="28"/>
        </w:rPr>
        <w:t>suit. The carelessness required for criminal negligence is appreciably</w:t>
      </w:r>
      <w:r>
        <w:rPr>
          <w:rFonts w:ascii="Arial" w:eastAsia="Arial" w:hAnsi="Arial"/>
          <w:color w:val="000000"/>
          <w:spacing w:val="-3"/>
          <w:sz w:val="28"/>
        </w:rPr>
        <w:t xml:space="preserve"> more serious than that for ordinary civil negligence.</w:t>
      </w:r>
    </w:p>
    <w:p w14:paraId="6032CB06" w14:textId="77777777" w:rsidR="00431A57" w:rsidRDefault="00702CD9">
      <w:pPr>
        <w:spacing w:before="328" w:line="321" w:lineRule="exact"/>
        <w:ind w:firstLine="720"/>
        <w:jc w:val="both"/>
        <w:textAlignment w:val="baseline"/>
        <w:rPr>
          <w:rFonts w:ascii="Arial" w:eastAsia="Arial" w:hAnsi="Arial"/>
          <w:color w:val="000000"/>
          <w:sz w:val="28"/>
        </w:rPr>
      </w:pPr>
      <w:r>
        <w:rPr>
          <w:rFonts w:ascii="Arial" w:eastAsia="Arial" w:hAnsi="Arial"/>
          <w:color w:val="000000"/>
          <w:sz w:val="28"/>
        </w:rPr>
        <w:t>A person acts with CRIMINAL NEGLIGENCE with respect to physical injury to another by means of a deadly weapon [</w:t>
      </w:r>
      <w:r>
        <w:rPr>
          <w:rFonts w:ascii="Arial" w:eastAsia="Arial" w:hAnsi="Arial"/>
          <w:i/>
          <w:color w:val="000000"/>
          <w:sz w:val="28"/>
        </w:rPr>
        <w:t xml:space="preserve">or </w:t>
      </w:r>
      <w:r>
        <w:rPr>
          <w:rFonts w:ascii="Arial" w:eastAsia="Arial" w:hAnsi="Arial"/>
          <w:color w:val="000000"/>
          <w:sz w:val="28"/>
        </w:rPr>
        <w:t>dangerous instrument] when</w:t>
      </w:r>
    </w:p>
    <w:p w14:paraId="6032CB07" w14:textId="77777777" w:rsidR="00431A57" w:rsidRDefault="00702CD9">
      <w:pPr>
        <w:spacing w:before="323" w:line="325" w:lineRule="exact"/>
        <w:ind w:left="720"/>
        <w:jc w:val="both"/>
        <w:textAlignment w:val="baseline"/>
        <w:rPr>
          <w:rFonts w:ascii="Arial" w:eastAsia="Arial" w:hAnsi="Arial"/>
          <w:color w:val="000000"/>
          <w:sz w:val="28"/>
        </w:rPr>
      </w:pPr>
      <w:r>
        <w:rPr>
          <w:rFonts w:ascii="Arial" w:eastAsia="Arial" w:hAnsi="Arial"/>
          <w:color w:val="000000"/>
          <w:sz w:val="28"/>
        </w:rPr>
        <w:t>that person engages in conduct which creates or contributes to a substantial and unjustifiable risk that physical injury to another by means of a deadly weapon [</w:t>
      </w:r>
      <w:r>
        <w:rPr>
          <w:rFonts w:ascii="Arial" w:eastAsia="Arial" w:hAnsi="Arial"/>
          <w:i/>
          <w:color w:val="000000"/>
          <w:sz w:val="28"/>
        </w:rPr>
        <w:t xml:space="preserve">or </w:t>
      </w:r>
      <w:r>
        <w:rPr>
          <w:rFonts w:ascii="Arial" w:eastAsia="Arial" w:hAnsi="Arial"/>
          <w:color w:val="000000"/>
          <w:sz w:val="28"/>
        </w:rPr>
        <w:t>dangerous instrument] will occur, and</w:t>
      </w:r>
    </w:p>
    <w:p w14:paraId="6032CB08" w14:textId="77777777" w:rsidR="00431A57" w:rsidRDefault="00702CD9">
      <w:pPr>
        <w:spacing w:before="329" w:line="319" w:lineRule="exact"/>
        <w:ind w:left="720"/>
        <w:textAlignment w:val="baseline"/>
        <w:rPr>
          <w:rFonts w:ascii="Arial" w:eastAsia="Arial" w:hAnsi="Arial"/>
          <w:color w:val="000000"/>
          <w:sz w:val="28"/>
        </w:rPr>
      </w:pPr>
      <w:r>
        <w:rPr>
          <w:rFonts w:ascii="Arial" w:eastAsia="Arial" w:hAnsi="Arial"/>
          <w:color w:val="000000"/>
          <w:sz w:val="28"/>
        </w:rPr>
        <w:t>when he or she fails to perceive that risk,</w:t>
      </w:r>
    </w:p>
    <w:p w14:paraId="6032CB09" w14:textId="77777777" w:rsidR="00431A57" w:rsidRDefault="00702CD9">
      <w:pPr>
        <w:spacing w:before="344" w:line="304" w:lineRule="exact"/>
        <w:ind w:left="720"/>
        <w:jc w:val="both"/>
        <w:textAlignment w:val="baseline"/>
        <w:rPr>
          <w:rFonts w:ascii="Arial" w:eastAsia="Arial" w:hAnsi="Arial"/>
          <w:color w:val="000000"/>
          <w:sz w:val="28"/>
        </w:rPr>
      </w:pPr>
      <w:r>
        <w:rPr>
          <w:rFonts w:ascii="Arial" w:eastAsia="Arial" w:hAnsi="Arial"/>
          <w:color w:val="000000"/>
          <w:sz w:val="28"/>
        </w:rPr>
        <w:t>and when t</w:t>
      </w:r>
      <w:r>
        <w:rPr>
          <w:rFonts w:ascii="Arial" w:eastAsia="Arial" w:hAnsi="Arial"/>
          <w:color w:val="000000"/>
          <w:sz w:val="28"/>
        </w:rPr>
        <w:t>hat risk is of such nature and degree that failure to perceive it constitutes a gross deviation from the standard of care that a reasonable person would observe in the situation.</w:t>
      </w:r>
      <w:r>
        <w:rPr>
          <w:rFonts w:ascii="Arial" w:eastAsia="Arial" w:hAnsi="Arial"/>
          <w:color w:val="000000"/>
          <w:sz w:val="28"/>
          <w:vertAlign w:val="superscript"/>
        </w:rPr>
        <w:t>6</w:t>
      </w:r>
      <w:r>
        <w:rPr>
          <w:rFonts w:ascii="Arial" w:eastAsia="Arial" w:hAnsi="Arial"/>
          <w:color w:val="000000"/>
          <w:sz w:val="17"/>
        </w:rPr>
        <w:t xml:space="preserve"> </w:t>
      </w:r>
    </w:p>
    <w:p w14:paraId="6032CB0A" w14:textId="77777777" w:rsidR="00431A57" w:rsidRDefault="00702CD9">
      <w:pPr>
        <w:spacing w:before="23" w:line="595" w:lineRule="exact"/>
        <w:ind w:firstLine="720"/>
        <w:textAlignment w:val="baseline"/>
        <w:rPr>
          <w:rFonts w:ascii="Arial" w:eastAsia="Arial" w:hAnsi="Arial"/>
          <w:color w:val="000000"/>
          <w:sz w:val="28"/>
        </w:rPr>
      </w:pPr>
      <w:r>
        <w:rPr>
          <w:rFonts w:ascii="Arial" w:eastAsia="Arial" w:hAnsi="Arial"/>
          <w:color w:val="000000"/>
          <w:sz w:val="28"/>
        </w:rPr>
        <w:t xml:space="preserve">DEADLY WEAPON means: </w:t>
      </w:r>
      <w:r>
        <w:rPr>
          <w:rFonts w:ascii="Arial" w:eastAsia="Arial" w:hAnsi="Arial"/>
          <w:color w:val="000000"/>
          <w:sz w:val="28"/>
        </w:rPr>
        <w:br/>
      </w:r>
      <w:r>
        <w:rPr>
          <w:rFonts w:ascii="Arial" w:eastAsia="Arial" w:hAnsi="Arial"/>
          <w:i/>
          <w:color w:val="000000"/>
          <w:sz w:val="26"/>
        </w:rPr>
        <w:t>Select appropriate weapon:</w:t>
      </w:r>
    </w:p>
    <w:p w14:paraId="6032CB0B" w14:textId="77777777" w:rsidR="00431A57" w:rsidRDefault="00702CD9">
      <w:pPr>
        <w:spacing w:before="309" w:line="283" w:lineRule="exact"/>
        <w:jc w:val="both"/>
        <w:textAlignment w:val="baseline"/>
        <w:rPr>
          <w:rFonts w:ascii="Arial" w:eastAsia="Arial" w:hAnsi="Arial"/>
          <w:color w:val="000000"/>
          <w:sz w:val="26"/>
        </w:rPr>
      </w:pPr>
      <w:r>
        <w:rPr>
          <w:rFonts w:ascii="Arial" w:eastAsia="Arial" w:hAnsi="Arial"/>
          <w:color w:val="000000"/>
          <w:sz w:val="26"/>
        </w:rPr>
        <w:t>any loaded weapon from whi</w:t>
      </w:r>
      <w:r>
        <w:rPr>
          <w:rFonts w:ascii="Arial" w:eastAsia="Arial" w:hAnsi="Arial"/>
          <w:color w:val="000000"/>
          <w:sz w:val="26"/>
        </w:rPr>
        <w:t>ch a shot, readily capable of producing death or other serious physical injury, may be discharged.</w:t>
      </w:r>
    </w:p>
    <w:p w14:paraId="6032CB0C" w14:textId="2BDD52E9" w:rsidR="00431A57" w:rsidRDefault="00702CD9">
      <w:pPr>
        <w:spacing w:before="279" w:line="283" w:lineRule="exact"/>
        <w:jc w:val="both"/>
        <w:textAlignment w:val="baseline"/>
        <w:rPr>
          <w:rFonts w:ascii="Arial" w:eastAsia="Arial" w:hAnsi="Arial"/>
          <w:color w:val="000000"/>
          <w:sz w:val="26"/>
        </w:rPr>
      </w:pPr>
      <w:r>
        <w:rPr>
          <w:rFonts w:ascii="Arial" w:eastAsia="Arial" w:hAnsi="Arial"/>
          <w:color w:val="000000"/>
          <w:sz w:val="26"/>
        </w:rPr>
        <w:t>a switchblade knife</w:t>
      </w:r>
      <w:r w:rsidR="00A058FA">
        <w:rPr>
          <w:rFonts w:ascii="Arial" w:eastAsia="Arial" w:hAnsi="Arial"/>
          <w:color w:val="000000"/>
          <w:sz w:val="26"/>
        </w:rPr>
        <w:t>,</w:t>
      </w:r>
      <w:r>
        <w:rPr>
          <w:rFonts w:ascii="Arial" w:eastAsia="Arial" w:hAnsi="Arial"/>
          <w:color w:val="000000"/>
          <w:sz w:val="26"/>
        </w:rPr>
        <w:t xml:space="preserve"> defined as any knife having a blade which opens automatically by hand pressure applied to a button, spring or other device in the handle </w:t>
      </w:r>
      <w:r>
        <w:rPr>
          <w:rFonts w:ascii="Arial" w:eastAsia="Arial" w:hAnsi="Arial"/>
          <w:color w:val="000000"/>
          <w:sz w:val="26"/>
        </w:rPr>
        <w:t>of the knife.</w:t>
      </w:r>
    </w:p>
    <w:p w14:paraId="6032CB0D" w14:textId="64C27156" w:rsidR="00431A57" w:rsidRDefault="00702CD9">
      <w:pPr>
        <w:spacing w:before="279" w:after="512" w:line="283" w:lineRule="exact"/>
        <w:jc w:val="both"/>
        <w:textAlignment w:val="baseline"/>
        <w:rPr>
          <w:rFonts w:ascii="Arial" w:eastAsia="Arial" w:hAnsi="Arial"/>
          <w:color w:val="000000"/>
          <w:sz w:val="26"/>
        </w:rPr>
      </w:pPr>
      <w:r>
        <w:rPr>
          <w:rFonts w:ascii="Arial" w:eastAsia="Arial" w:hAnsi="Arial"/>
          <w:color w:val="000000"/>
          <w:sz w:val="26"/>
        </w:rPr>
        <w:t>a pilum ballistic knife</w:t>
      </w:r>
      <w:r w:rsidR="00A058FA">
        <w:rPr>
          <w:rFonts w:ascii="Arial" w:eastAsia="Arial" w:hAnsi="Arial"/>
          <w:color w:val="000000"/>
          <w:sz w:val="26"/>
        </w:rPr>
        <w:t>,</w:t>
      </w:r>
      <w:r>
        <w:rPr>
          <w:rFonts w:ascii="Arial" w:eastAsia="Arial" w:hAnsi="Arial"/>
          <w:color w:val="000000"/>
          <w:sz w:val="26"/>
        </w:rPr>
        <w:t xml:space="preserve"> defined as any knife having a blade which can be projected from the handle by hand pressure applied to a button, lever, spring or other device in the handle of the knife.</w:t>
      </w:r>
    </w:p>
    <w:p w14:paraId="6032CB0E" w14:textId="77777777" w:rsidR="00431A57" w:rsidRDefault="00702CD9">
      <w:pPr>
        <w:spacing w:before="252" w:line="282"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 See </w:t>
      </w:r>
      <w:r>
        <w:rPr>
          <w:rFonts w:ascii="Arial" w:eastAsia="Arial" w:hAnsi="Arial"/>
          <w:color w:val="000000"/>
          <w:sz w:val="24"/>
        </w:rPr>
        <w:t xml:space="preserve">Penal Law § 15.05(4); </w:t>
      </w:r>
      <w:r>
        <w:rPr>
          <w:rFonts w:ascii="Arial" w:eastAsia="Arial" w:hAnsi="Arial"/>
          <w:i/>
          <w:color w:val="000000"/>
          <w:sz w:val="24"/>
        </w:rPr>
        <w:t xml:space="preserve">People v. Boutin, </w:t>
      </w:r>
      <w:r>
        <w:rPr>
          <w:rFonts w:ascii="Arial" w:eastAsia="Arial" w:hAnsi="Arial"/>
          <w:color w:val="000000"/>
          <w:sz w:val="24"/>
        </w:rPr>
        <w:t>75 NY2d 692, 696 (1990).</w:t>
      </w:r>
    </w:p>
    <w:p w14:paraId="6032CB0F" w14:textId="77777777" w:rsidR="00431A57" w:rsidRDefault="00431A57">
      <w:pPr>
        <w:sectPr w:rsidR="00431A57">
          <w:footerReference w:type="default" r:id="rId7"/>
          <w:pgSz w:w="12240" w:h="15840"/>
          <w:pgMar w:top="1440" w:right="2126" w:bottom="1330" w:left="2156" w:header="720" w:footer="1483" w:gutter="0"/>
          <w:cols w:space="720"/>
        </w:sectPr>
      </w:pPr>
    </w:p>
    <w:p w14:paraId="6032CB10" w14:textId="77777777" w:rsidR="00431A57" w:rsidRDefault="00702CD9">
      <w:pPr>
        <w:spacing w:before="25" w:line="280" w:lineRule="exact"/>
        <w:jc w:val="both"/>
        <w:textAlignment w:val="baseline"/>
        <w:rPr>
          <w:rFonts w:ascii="Arial" w:eastAsia="Arial" w:hAnsi="Arial"/>
          <w:color w:val="000000"/>
          <w:sz w:val="26"/>
        </w:rPr>
      </w:pPr>
      <w:r>
        <w:rPr>
          <w:rFonts w:ascii="Arial" w:eastAsia="Arial" w:hAnsi="Arial"/>
          <w:color w:val="000000"/>
          <w:sz w:val="26"/>
        </w:rPr>
        <w:lastRenderedPageBreak/>
        <w:t xml:space="preserve">a metal knuckle knife, defined as a weapon that, when closed, cannot function as a set of plastic knuckles or metal knuckles, nor as a knife and when open, can function as both a set of plastic knuckles </w:t>
      </w:r>
      <w:proofErr w:type="gramStart"/>
      <w:r>
        <w:rPr>
          <w:rFonts w:ascii="Arial" w:eastAsia="Arial" w:hAnsi="Arial"/>
          <w:color w:val="000000"/>
          <w:sz w:val="26"/>
        </w:rPr>
        <w:t>or</w:t>
      </w:r>
      <w:proofErr w:type="gramEnd"/>
      <w:r>
        <w:rPr>
          <w:rFonts w:ascii="Arial" w:eastAsia="Arial" w:hAnsi="Arial"/>
          <w:color w:val="000000"/>
          <w:sz w:val="26"/>
        </w:rPr>
        <w:t xml:space="preserve"> metal knuckles as well as a knife.</w:t>
      </w:r>
    </w:p>
    <w:p w14:paraId="6032CB11" w14:textId="77777777" w:rsidR="00431A57" w:rsidRDefault="00702CD9">
      <w:pPr>
        <w:spacing w:before="284" w:line="283" w:lineRule="exact"/>
        <w:jc w:val="both"/>
        <w:textAlignment w:val="baseline"/>
        <w:rPr>
          <w:rFonts w:ascii="Arial" w:eastAsia="Arial" w:hAnsi="Arial"/>
          <w:color w:val="000000"/>
          <w:sz w:val="26"/>
        </w:rPr>
      </w:pPr>
      <w:r>
        <w:rPr>
          <w:rFonts w:ascii="Arial" w:eastAsia="Arial" w:hAnsi="Arial"/>
          <w:color w:val="000000"/>
          <w:sz w:val="26"/>
        </w:rPr>
        <w:t>metal knuckles,</w:t>
      </w:r>
      <w:r>
        <w:rPr>
          <w:rFonts w:ascii="Arial" w:eastAsia="Arial" w:hAnsi="Arial"/>
          <w:color w:val="000000"/>
          <w:sz w:val="26"/>
        </w:rPr>
        <w:t xml:space="preserve"> defined as a metal object with multiple holes, through which individual places his or her fingers so that a metal bar rests atop the individual's knuckles.</w:t>
      </w:r>
    </w:p>
    <w:p w14:paraId="6032CB12" w14:textId="77777777" w:rsidR="00431A57" w:rsidRDefault="00702CD9">
      <w:pPr>
        <w:spacing w:before="279" w:line="283" w:lineRule="exact"/>
        <w:jc w:val="both"/>
        <w:textAlignment w:val="baseline"/>
        <w:rPr>
          <w:rFonts w:ascii="Arial" w:eastAsia="Arial" w:hAnsi="Arial"/>
          <w:color w:val="000000"/>
          <w:sz w:val="26"/>
        </w:rPr>
      </w:pPr>
      <w:r>
        <w:rPr>
          <w:rFonts w:ascii="Arial" w:eastAsia="Arial" w:hAnsi="Arial"/>
          <w:color w:val="000000"/>
          <w:sz w:val="26"/>
        </w:rPr>
        <w:t>a billy, defined as a cylindrical or rounded, rigid, club or baton with a handle grip which, from i</w:t>
      </w:r>
      <w:r>
        <w:rPr>
          <w:rFonts w:ascii="Arial" w:eastAsia="Arial" w:hAnsi="Arial"/>
          <w:color w:val="000000"/>
          <w:sz w:val="26"/>
        </w:rPr>
        <w:t>ts appearance and inherent characteristics, is designed to be used as a striking weapon and not for other lawful purposes.</w:t>
      </w:r>
    </w:p>
    <w:p w14:paraId="6032CB13" w14:textId="1282CF08" w:rsidR="00431A57" w:rsidRDefault="00702CD9">
      <w:pPr>
        <w:spacing w:before="268" w:line="293" w:lineRule="exact"/>
        <w:textAlignment w:val="baseline"/>
        <w:rPr>
          <w:rFonts w:ascii="Arial" w:eastAsia="Arial" w:hAnsi="Arial"/>
          <w:color w:val="000000"/>
          <w:sz w:val="26"/>
        </w:rPr>
      </w:pPr>
      <w:r>
        <w:rPr>
          <w:rFonts w:ascii="Arial" w:eastAsia="Arial" w:hAnsi="Arial"/>
          <w:color w:val="000000"/>
          <w:sz w:val="26"/>
        </w:rPr>
        <w:t>a dagger</w:t>
      </w:r>
      <w:r w:rsidR="00A058FA">
        <w:rPr>
          <w:rFonts w:ascii="Arial" w:eastAsia="Arial" w:hAnsi="Arial"/>
          <w:color w:val="000000"/>
          <w:sz w:val="26"/>
        </w:rPr>
        <w:t>.</w:t>
      </w:r>
    </w:p>
    <w:p w14:paraId="6032CB14" w14:textId="3F4D10C4" w:rsidR="00431A57" w:rsidRDefault="00702CD9">
      <w:pPr>
        <w:spacing w:before="269" w:line="293" w:lineRule="exact"/>
        <w:textAlignment w:val="baseline"/>
        <w:rPr>
          <w:rFonts w:ascii="Arial" w:eastAsia="Arial" w:hAnsi="Arial"/>
          <w:color w:val="000000"/>
          <w:sz w:val="26"/>
        </w:rPr>
      </w:pPr>
      <w:r>
        <w:rPr>
          <w:rFonts w:ascii="Arial" w:eastAsia="Arial" w:hAnsi="Arial"/>
          <w:color w:val="000000"/>
          <w:sz w:val="26"/>
        </w:rPr>
        <w:t>a blackjack</w:t>
      </w:r>
      <w:r w:rsidR="00A058FA">
        <w:rPr>
          <w:rFonts w:ascii="Arial" w:eastAsia="Arial" w:hAnsi="Arial"/>
          <w:color w:val="000000"/>
          <w:sz w:val="26"/>
        </w:rPr>
        <w:t>.</w:t>
      </w:r>
    </w:p>
    <w:p w14:paraId="6032CB15" w14:textId="77777777" w:rsidR="00431A57" w:rsidRDefault="00702CD9">
      <w:pPr>
        <w:spacing w:before="266" w:line="293" w:lineRule="exact"/>
        <w:textAlignment w:val="baseline"/>
        <w:rPr>
          <w:rFonts w:ascii="Arial" w:eastAsia="Arial" w:hAnsi="Arial"/>
          <w:color w:val="000000"/>
          <w:spacing w:val="-4"/>
          <w:sz w:val="26"/>
        </w:rPr>
      </w:pPr>
      <w:r>
        <w:rPr>
          <w:rFonts w:ascii="Arial" w:eastAsia="Arial" w:hAnsi="Arial"/>
          <w:color w:val="000000"/>
          <w:spacing w:val="-4"/>
          <w:sz w:val="26"/>
        </w:rPr>
        <w:t xml:space="preserve">plastic knuckles. </w:t>
      </w:r>
      <w:r>
        <w:rPr>
          <w:rFonts w:ascii="Arial" w:eastAsia="Arial" w:hAnsi="Arial"/>
          <w:color w:val="000000"/>
          <w:spacing w:val="-4"/>
          <w:sz w:val="26"/>
          <w:vertAlign w:val="superscript"/>
        </w:rPr>
        <w:t>7</w:t>
      </w:r>
      <w:r>
        <w:rPr>
          <w:rFonts w:ascii="Arial" w:eastAsia="Arial" w:hAnsi="Arial"/>
          <w:color w:val="000000"/>
          <w:spacing w:val="-4"/>
          <w:sz w:val="16"/>
        </w:rPr>
        <w:t xml:space="preserve"> </w:t>
      </w:r>
    </w:p>
    <w:p w14:paraId="6032CB16" w14:textId="77777777" w:rsidR="00431A57" w:rsidRDefault="00702CD9">
      <w:pPr>
        <w:spacing w:before="307" w:after="258" w:line="308"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[DANGEROUS INSTRUMENT means any instrument, article or substance (including a vehicle) which, under the circumstances in which it is used, attempted to be used, or threatened to be used, is readily capable of causing death or other serious physical injury,</w:t>
      </w:r>
      <w:r>
        <w:rPr>
          <w:rFonts w:ascii="Arial" w:eastAsia="Arial" w:hAnsi="Arial"/>
          <w:color w:val="000000"/>
          <w:spacing w:val="-1"/>
          <w:sz w:val="28"/>
          <w:vertAlign w:val="superscript"/>
        </w:rPr>
        <w:t>8</w:t>
      </w:r>
      <w:r>
        <w:rPr>
          <w:rFonts w:ascii="Arial" w:eastAsia="Arial" w:hAnsi="Arial"/>
          <w:color w:val="000000"/>
          <w:spacing w:val="-1"/>
          <w:sz w:val="28"/>
        </w:rPr>
        <w:t xml:space="preserve"> that is, serious and protracted disfigurement, protracted impairment of health or protracted loss or impairment of the function of any bodily organ.</w:t>
      </w:r>
      <w:r>
        <w:rPr>
          <w:rFonts w:ascii="Arial" w:eastAsia="Arial" w:hAnsi="Arial"/>
          <w:color w:val="000000"/>
          <w:spacing w:val="-1"/>
          <w:sz w:val="28"/>
          <w:vertAlign w:val="superscript"/>
        </w:rPr>
        <w:t>9</w:t>
      </w:r>
      <w:r>
        <w:rPr>
          <w:rFonts w:ascii="Arial" w:eastAsia="Arial" w:hAnsi="Arial"/>
          <w:color w:val="000000"/>
          <w:spacing w:val="-1"/>
          <w:sz w:val="28"/>
        </w:rPr>
        <w:t xml:space="preserve"> Under that</w:t>
      </w:r>
    </w:p>
    <w:p w14:paraId="6032CB17" w14:textId="3F52BFDC" w:rsidR="00431A57" w:rsidRDefault="00702CD9">
      <w:pPr>
        <w:spacing w:before="264" w:line="276" w:lineRule="exact"/>
        <w:jc w:val="both"/>
        <w:textAlignment w:val="baseline"/>
        <w:rPr>
          <w:rFonts w:ascii="Arial" w:eastAsia="Arial" w:hAnsi="Arial"/>
          <w:color w:val="000000"/>
          <w:sz w:val="14"/>
          <w:vertAlign w:val="superscript"/>
        </w:rPr>
      </w:pPr>
      <w:r>
        <w:pict w14:anchorId="6032CB2C">
          <v:line id="_x0000_s1026" style="position:absolute;left:0;text-align:left;z-index:251659264;mso-position-horizontal-relative:page;mso-position-vertical-relative:page" from="107.4pt,477.35pt" to="252.05pt,477.35pt" strokeweight="1.2pt">
            <w10:wrap anchorx="page" anchory="page"/>
          </v:line>
        </w:pict>
      </w:r>
      <w:r>
        <w:rPr>
          <w:rFonts w:ascii="Arial" w:eastAsia="Arial" w:hAnsi="Arial"/>
          <w:color w:val="000000"/>
          <w:sz w:val="14"/>
          <w:vertAlign w:val="superscript"/>
        </w:rPr>
        <w:t>4</w:t>
      </w:r>
      <w:r>
        <w:rPr>
          <w:rFonts w:ascii="Arial" w:eastAsia="Arial" w:hAnsi="Arial"/>
          <w:color w:val="000000"/>
          <w:sz w:val="24"/>
        </w:rPr>
        <w:t xml:space="preserve"> Penal Law § 10.00(12) defines "deadly weapon." </w:t>
      </w:r>
      <w:r w:rsidRPr="00307D14">
        <w:rPr>
          <w:rFonts w:ascii="Arial" w:eastAsia="Arial" w:hAnsi="Arial"/>
          <w:i/>
          <w:iCs/>
          <w:color w:val="000000"/>
          <w:sz w:val="24"/>
        </w:rPr>
        <w:t>See</w:t>
      </w:r>
      <w:r>
        <w:rPr>
          <w:rFonts w:ascii="Arial" w:eastAsia="Arial" w:hAnsi="Arial"/>
          <w:color w:val="000000"/>
          <w:sz w:val="24"/>
        </w:rPr>
        <w:t xml:space="preserve"> Penal Law § 265.00 for the definitions </w:t>
      </w:r>
      <w:r>
        <w:rPr>
          <w:rFonts w:ascii="Arial" w:eastAsia="Arial" w:hAnsi="Arial"/>
          <w:color w:val="000000"/>
          <w:sz w:val="24"/>
        </w:rPr>
        <w:t xml:space="preserve">of "switchblade knife," "gravity knife," "pilum ballistic knife" and "metal knuckle knife"; </w:t>
      </w:r>
      <w:r>
        <w:rPr>
          <w:rFonts w:ascii="Arial" w:eastAsia="Arial" w:hAnsi="Arial"/>
          <w:i/>
          <w:color w:val="000000"/>
          <w:sz w:val="24"/>
        </w:rPr>
        <w:t>People v. Aragon</w:t>
      </w:r>
      <w:r>
        <w:rPr>
          <w:rFonts w:ascii="Arial" w:eastAsia="Arial" w:hAnsi="Arial"/>
          <w:color w:val="000000"/>
          <w:sz w:val="24"/>
        </w:rPr>
        <w:t xml:space="preserve">, 28 N.Y.3d 125 (2016) (for the definition of "metal knuckles"); </w:t>
      </w:r>
      <w:r>
        <w:rPr>
          <w:rFonts w:ascii="Arial" w:eastAsia="Arial" w:hAnsi="Arial"/>
          <w:i/>
          <w:color w:val="000000"/>
          <w:sz w:val="24"/>
        </w:rPr>
        <w:t>People v. Ocasio</w:t>
      </w:r>
      <w:r>
        <w:rPr>
          <w:rFonts w:ascii="Arial" w:eastAsia="Arial" w:hAnsi="Arial"/>
          <w:color w:val="000000"/>
          <w:sz w:val="24"/>
        </w:rPr>
        <w:t>, 28 N.Y.3d 178</w:t>
      </w:r>
      <w:r w:rsidR="00307D14">
        <w:rPr>
          <w:rFonts w:ascii="Arial" w:eastAsia="Arial" w:hAnsi="Arial"/>
          <w:color w:val="000000"/>
          <w:sz w:val="24"/>
        </w:rPr>
        <w:t>, 183</w:t>
      </w:r>
      <w:r>
        <w:rPr>
          <w:rFonts w:ascii="Arial" w:eastAsia="Arial" w:hAnsi="Arial"/>
          <w:color w:val="000000"/>
          <w:sz w:val="24"/>
        </w:rPr>
        <w:t xml:space="preserve"> (2016) (for the definition of "billy").</w:t>
      </w:r>
    </w:p>
    <w:p w14:paraId="6032CB18" w14:textId="52F76666" w:rsidR="00431A57" w:rsidRDefault="00702CD9">
      <w:pPr>
        <w:spacing w:line="276" w:lineRule="exact"/>
        <w:ind w:firstLine="432"/>
        <w:jc w:val="both"/>
        <w:textAlignment w:val="baseline"/>
        <w:rPr>
          <w:rFonts w:ascii="Arial" w:eastAsia="Arial" w:hAnsi="Arial"/>
          <w:color w:val="000000"/>
          <w:sz w:val="24"/>
        </w:rPr>
      </w:pPr>
      <w:r>
        <w:rPr>
          <w:rFonts w:ascii="Arial" w:eastAsia="Arial" w:hAnsi="Arial"/>
          <w:color w:val="000000"/>
          <w:sz w:val="24"/>
        </w:rPr>
        <w:t>There is no controlling statutory or decisional law definition of "plastic knuckles</w:t>
      </w:r>
      <w:r w:rsidR="000C41DF">
        <w:rPr>
          <w:rFonts w:ascii="Arial" w:eastAsia="Arial" w:hAnsi="Arial"/>
          <w:color w:val="000000"/>
          <w:sz w:val="24"/>
        </w:rPr>
        <w:t>,</w:t>
      </w:r>
      <w:r>
        <w:rPr>
          <w:rFonts w:ascii="Arial" w:eastAsia="Arial" w:hAnsi="Arial"/>
          <w:color w:val="000000"/>
          <w:sz w:val="24"/>
        </w:rPr>
        <w:t>" albeit the legislative memorandum in support of adding that term equated it with "brass [metal] knuckles"; thus, fo</w:t>
      </w:r>
      <w:r>
        <w:rPr>
          <w:rFonts w:ascii="Arial" w:eastAsia="Arial" w:hAnsi="Arial"/>
          <w:color w:val="000000"/>
          <w:sz w:val="24"/>
        </w:rPr>
        <w:t>r the definition of "plastic knuckles," a court may wish to consider using the definition of "metal knuckles," substituting "plastic object" for "metal object" and "plastic bar" for "metal bar."</w:t>
      </w:r>
    </w:p>
    <w:p w14:paraId="6032CB19" w14:textId="77777777" w:rsidR="00431A57" w:rsidRDefault="00702CD9">
      <w:pPr>
        <w:spacing w:before="234" w:line="276" w:lineRule="exact"/>
        <w:ind w:left="720"/>
        <w:textAlignment w:val="baseline"/>
        <w:rPr>
          <w:rFonts w:ascii="Arial" w:eastAsia="Arial" w:hAnsi="Arial"/>
          <w:i/>
          <w:color w:val="000000"/>
          <w:spacing w:val="2"/>
          <w:sz w:val="14"/>
          <w:vertAlign w:val="superscript"/>
        </w:rPr>
      </w:pPr>
      <w:r>
        <w:rPr>
          <w:rFonts w:ascii="Arial" w:eastAsia="Arial" w:hAnsi="Arial"/>
          <w:i/>
          <w:color w:val="000000"/>
          <w:spacing w:val="2"/>
          <w:sz w:val="14"/>
          <w:vertAlign w:val="superscript"/>
        </w:rPr>
        <w:t>8</w:t>
      </w:r>
      <w:r>
        <w:rPr>
          <w:rFonts w:ascii="Arial" w:eastAsia="Arial" w:hAnsi="Arial"/>
          <w:color w:val="000000"/>
          <w:spacing w:val="2"/>
          <w:sz w:val="24"/>
        </w:rPr>
        <w:t xml:space="preserve"> Penal Law § 10.00(13).</w:t>
      </w:r>
    </w:p>
    <w:p w14:paraId="6032CB1A" w14:textId="77777777" w:rsidR="00431A57" w:rsidRDefault="00702CD9">
      <w:pPr>
        <w:spacing w:before="242" w:line="276" w:lineRule="exact"/>
        <w:ind w:left="720"/>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9</w:t>
      </w:r>
      <w:r>
        <w:rPr>
          <w:rFonts w:ascii="Arial" w:eastAsia="Arial" w:hAnsi="Arial"/>
          <w:color w:val="000000"/>
          <w:spacing w:val="1"/>
          <w:sz w:val="24"/>
        </w:rPr>
        <w:t xml:space="preserve"> Penal Law § 10.00(10).</w:t>
      </w:r>
    </w:p>
    <w:p w14:paraId="6032CB1B" w14:textId="77777777" w:rsidR="00431A57" w:rsidRDefault="00431A57">
      <w:pPr>
        <w:sectPr w:rsidR="00431A57">
          <w:pgSz w:w="12240" w:h="15840"/>
          <w:pgMar w:top="1440" w:right="2134" w:bottom="1332" w:left="2148" w:header="720" w:footer="1488" w:gutter="0"/>
          <w:cols w:space="720"/>
        </w:sectPr>
      </w:pPr>
    </w:p>
    <w:p w14:paraId="6032CB1C" w14:textId="77777777" w:rsidR="00431A57" w:rsidRDefault="00702CD9">
      <w:pPr>
        <w:spacing w:before="13" w:line="312" w:lineRule="exact"/>
        <w:jc w:val="both"/>
        <w:textAlignment w:val="baseline"/>
        <w:rPr>
          <w:rFonts w:ascii="Arial" w:eastAsia="Arial" w:hAnsi="Arial"/>
          <w:color w:val="000000"/>
          <w:sz w:val="28"/>
        </w:rPr>
      </w:pPr>
      <w:r>
        <w:rPr>
          <w:rFonts w:ascii="Arial" w:eastAsia="Arial" w:hAnsi="Arial"/>
          <w:color w:val="000000"/>
          <w:sz w:val="28"/>
        </w:rPr>
        <w:lastRenderedPageBreak/>
        <w:t>d</w:t>
      </w:r>
      <w:r>
        <w:rPr>
          <w:rFonts w:ascii="Arial" w:eastAsia="Arial" w:hAnsi="Arial"/>
          <w:color w:val="000000"/>
          <w:sz w:val="28"/>
        </w:rPr>
        <w:t>efinition, death or other serious physical injury need not, in fact, be caused.]</w:t>
      </w:r>
    </w:p>
    <w:p w14:paraId="6032CB1D" w14:textId="77777777" w:rsidR="00431A57" w:rsidRDefault="00702CD9">
      <w:pPr>
        <w:spacing w:before="308" w:line="307" w:lineRule="exact"/>
        <w:ind w:firstLine="792"/>
        <w:jc w:val="both"/>
        <w:textAlignment w:val="baseline"/>
        <w:rPr>
          <w:rFonts w:ascii="Arial" w:eastAsia="Arial" w:hAnsi="Arial"/>
          <w:color w:val="000000"/>
          <w:spacing w:val="-5"/>
          <w:sz w:val="28"/>
        </w:rPr>
      </w:pPr>
      <w:r>
        <w:rPr>
          <w:rFonts w:ascii="Arial" w:eastAsia="Arial" w:hAnsi="Arial"/>
          <w:color w:val="000000"/>
          <w:spacing w:val="-5"/>
          <w:sz w:val="28"/>
        </w:rPr>
        <w:t>In order for you to find the defendant guilty of this crime, the People are required to prove, from all the evidence in the case, beyond a reasonable doubt, each of the following four elements:</w:t>
      </w:r>
    </w:p>
    <w:p w14:paraId="6032CB1E" w14:textId="77777777" w:rsidR="00431A57" w:rsidRDefault="00702CD9">
      <w:pPr>
        <w:numPr>
          <w:ilvl w:val="0"/>
          <w:numId w:val="1"/>
        </w:numPr>
        <w:tabs>
          <w:tab w:val="clear" w:pos="288"/>
          <w:tab w:val="left" w:pos="1080"/>
        </w:tabs>
        <w:spacing w:before="617" w:line="307" w:lineRule="exact"/>
        <w:ind w:firstLine="792"/>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the defendant (</w:t>
      </w:r>
      <w:r>
        <w:rPr>
          <w:rFonts w:ascii="Arial" w:eastAsia="Arial" w:hAnsi="Arial"/>
          <w:i/>
          <w:color w:val="000000"/>
          <w:sz w:val="28"/>
          <w:u w:val="single"/>
        </w:rPr>
        <w:t>defendant’s</w:t>
      </w:r>
      <w:r>
        <w:rPr>
          <w:rFonts w:ascii="Arial" w:eastAsia="Arial" w:hAnsi="Arial"/>
          <w:i/>
          <w:color w:val="000000"/>
          <w:sz w:val="28"/>
        </w:rPr>
        <w:t xml:space="preserve"> </w:t>
      </w:r>
      <w:r>
        <w:rPr>
          <w:rFonts w:ascii="Arial" w:eastAsia="Arial" w:hAnsi="Arial"/>
          <w:i/>
          <w:color w:val="000000"/>
          <w:sz w:val="28"/>
          <w:u w:val="single"/>
        </w:rPr>
        <w:t>name</w:t>
      </w:r>
      <w:r>
        <w:rPr>
          <w:rFonts w:ascii="Arial" w:eastAsia="Arial" w:hAnsi="Arial"/>
          <w:color w:val="000000"/>
          <w:sz w:val="28"/>
        </w:rPr>
        <w:t xml:space="preserve">) was </w:t>
      </w:r>
      <w:r>
        <w:rPr>
          <w:rFonts w:ascii="Arial" w:eastAsia="Arial" w:hAnsi="Arial"/>
          <w:color w:val="000000"/>
          <w:sz w:val="28"/>
        </w:rPr>
        <w:t>a caregiver for (</w:t>
      </w:r>
      <w:r>
        <w:rPr>
          <w:rFonts w:ascii="Arial" w:eastAsia="Arial" w:hAnsi="Arial"/>
          <w:i/>
          <w:color w:val="000000"/>
          <w:sz w:val="28"/>
          <w:u w:val="single"/>
        </w:rPr>
        <w:t>specify</w:t>
      </w:r>
      <w:r>
        <w:rPr>
          <w:rFonts w:ascii="Arial" w:eastAsia="Arial" w:hAnsi="Arial"/>
          <w:color w:val="000000"/>
          <w:sz w:val="28"/>
        </w:rPr>
        <w:t>);</w:t>
      </w:r>
    </w:p>
    <w:p w14:paraId="6032CB1F" w14:textId="77777777" w:rsidR="00431A57" w:rsidRDefault="00702CD9">
      <w:pPr>
        <w:numPr>
          <w:ilvl w:val="0"/>
          <w:numId w:val="1"/>
        </w:numPr>
        <w:tabs>
          <w:tab w:val="clear" w:pos="288"/>
          <w:tab w:val="left" w:pos="1080"/>
        </w:tabs>
        <w:spacing w:before="290" w:line="319" w:lineRule="exact"/>
        <w:ind w:firstLine="792"/>
        <w:jc w:val="both"/>
        <w:textAlignment w:val="baseline"/>
        <w:rPr>
          <w:rFonts w:ascii="Arial" w:eastAsia="Arial" w:hAnsi="Arial"/>
          <w:color w:val="000000"/>
          <w:sz w:val="28"/>
        </w:rPr>
      </w:pPr>
      <w:r>
        <w:rPr>
          <w:rFonts w:ascii="Arial" w:eastAsia="Arial" w:hAnsi="Arial"/>
          <w:color w:val="000000"/>
          <w:sz w:val="28"/>
        </w:rPr>
        <w:t>That, on or about that date, (</w:t>
      </w:r>
      <w:r>
        <w:rPr>
          <w:rFonts w:ascii="Arial" w:eastAsia="Arial" w:hAnsi="Arial"/>
          <w:i/>
          <w:color w:val="000000"/>
          <w:sz w:val="28"/>
          <w:u w:val="single"/>
        </w:rPr>
        <w:t>specify</w:t>
      </w:r>
      <w:r>
        <w:rPr>
          <w:rFonts w:ascii="Arial" w:eastAsia="Arial" w:hAnsi="Arial"/>
          <w:color w:val="000000"/>
          <w:sz w:val="28"/>
        </w:rPr>
        <w:t>) was:</w:t>
      </w:r>
    </w:p>
    <w:p w14:paraId="6032CB20" w14:textId="77777777" w:rsidR="00431A57" w:rsidRDefault="00702CD9">
      <w:pPr>
        <w:spacing w:before="301" w:line="319" w:lineRule="exact"/>
        <w:ind w:left="1440"/>
        <w:textAlignment w:val="baseline"/>
        <w:rPr>
          <w:rFonts w:ascii="Arial" w:eastAsia="Arial" w:hAnsi="Arial"/>
          <w:i/>
          <w:color w:val="000000"/>
          <w:sz w:val="28"/>
          <w:u w:val="single"/>
        </w:rPr>
      </w:pPr>
      <w:r>
        <w:rPr>
          <w:rFonts w:ascii="Arial" w:eastAsia="Arial" w:hAnsi="Arial"/>
          <w:i/>
          <w:color w:val="000000"/>
          <w:sz w:val="28"/>
          <w:u w:val="single"/>
        </w:rPr>
        <w:t xml:space="preserve">Select appropriate alternative(s): </w:t>
      </w:r>
    </w:p>
    <w:p w14:paraId="6032CB21" w14:textId="77777777" w:rsidR="00431A57" w:rsidRDefault="00702CD9">
      <w:pPr>
        <w:spacing w:before="290" w:line="317" w:lineRule="exact"/>
        <w:ind w:left="1440"/>
        <w:textAlignment w:val="baseline"/>
        <w:rPr>
          <w:rFonts w:ascii="Arial" w:eastAsia="Arial" w:hAnsi="Arial"/>
          <w:color w:val="000000"/>
          <w:sz w:val="28"/>
        </w:rPr>
      </w:pPr>
      <w:r>
        <w:rPr>
          <w:rFonts w:ascii="Arial" w:eastAsia="Arial" w:hAnsi="Arial"/>
          <w:color w:val="000000"/>
          <w:sz w:val="28"/>
        </w:rPr>
        <w:t>a vulnerable elderly person</w:t>
      </w:r>
    </w:p>
    <w:p w14:paraId="6032CB22" w14:textId="77777777" w:rsidR="00431A57" w:rsidRDefault="00702CD9">
      <w:pPr>
        <w:spacing w:before="307" w:line="317" w:lineRule="exact"/>
        <w:ind w:left="1440"/>
        <w:textAlignment w:val="baseline"/>
        <w:rPr>
          <w:rFonts w:ascii="Arial" w:eastAsia="Arial" w:hAnsi="Arial"/>
          <w:color w:val="000000"/>
          <w:spacing w:val="-5"/>
          <w:sz w:val="28"/>
        </w:rPr>
      </w:pPr>
      <w:r>
        <w:rPr>
          <w:rFonts w:ascii="Arial" w:eastAsia="Arial" w:hAnsi="Arial"/>
          <w:color w:val="000000"/>
          <w:spacing w:val="-5"/>
          <w:sz w:val="28"/>
        </w:rPr>
        <w:t>[or]</w:t>
      </w:r>
    </w:p>
    <w:p w14:paraId="6032CB23" w14:textId="77777777" w:rsidR="00431A57" w:rsidRDefault="00702CD9">
      <w:pPr>
        <w:spacing w:before="302" w:line="317" w:lineRule="exact"/>
        <w:ind w:left="1440"/>
        <w:textAlignment w:val="baseline"/>
        <w:rPr>
          <w:rFonts w:ascii="Arial" w:eastAsia="Arial" w:hAnsi="Arial"/>
          <w:color w:val="000000"/>
          <w:sz w:val="28"/>
        </w:rPr>
      </w:pPr>
      <w:r>
        <w:rPr>
          <w:rFonts w:ascii="Arial" w:eastAsia="Arial" w:hAnsi="Arial"/>
          <w:color w:val="000000"/>
          <w:sz w:val="28"/>
        </w:rPr>
        <w:t>an incompetent or physically disabled person;</w:t>
      </w:r>
    </w:p>
    <w:p w14:paraId="6032CB24" w14:textId="77777777" w:rsidR="00431A57" w:rsidRDefault="00702CD9">
      <w:pPr>
        <w:numPr>
          <w:ilvl w:val="0"/>
          <w:numId w:val="1"/>
        </w:numPr>
        <w:tabs>
          <w:tab w:val="clear" w:pos="288"/>
          <w:tab w:val="left" w:pos="1080"/>
        </w:tabs>
        <w:spacing w:before="298" w:line="319" w:lineRule="exact"/>
        <w:ind w:firstLine="792"/>
        <w:textAlignment w:val="baseline"/>
        <w:rPr>
          <w:rFonts w:ascii="Arial" w:eastAsia="Arial" w:hAnsi="Arial"/>
          <w:color w:val="000000"/>
          <w:spacing w:val="-4"/>
          <w:sz w:val="28"/>
        </w:rPr>
      </w:pPr>
      <w:r>
        <w:rPr>
          <w:rFonts w:ascii="Arial" w:eastAsia="Arial" w:hAnsi="Arial"/>
          <w:color w:val="000000"/>
          <w:spacing w:val="-4"/>
          <w:sz w:val="28"/>
        </w:rPr>
        <w:t>That, on or about that date, in the county of (</w:t>
      </w:r>
      <w:r>
        <w:rPr>
          <w:rFonts w:ascii="Arial" w:eastAsia="Arial" w:hAnsi="Arial"/>
          <w:i/>
          <w:color w:val="000000"/>
          <w:spacing w:val="-4"/>
          <w:sz w:val="28"/>
          <w:u w:val="single"/>
        </w:rPr>
        <w:t>county</w:t>
      </w:r>
      <w:r>
        <w:rPr>
          <w:rFonts w:ascii="Arial" w:eastAsia="Arial" w:hAnsi="Arial"/>
          <w:color w:val="000000"/>
          <w:spacing w:val="-4"/>
          <w:sz w:val="28"/>
        </w:rPr>
        <w:t>), the</w:t>
      </w:r>
    </w:p>
    <w:p w14:paraId="6032CB25" w14:textId="77777777" w:rsidR="00431A57" w:rsidRDefault="00702CD9">
      <w:pPr>
        <w:spacing w:before="46" w:line="317" w:lineRule="exact"/>
        <w:jc w:val="both"/>
        <w:textAlignment w:val="baseline"/>
        <w:rPr>
          <w:rFonts w:ascii="Arial" w:eastAsia="Arial" w:hAnsi="Arial"/>
          <w:color w:val="000000"/>
          <w:spacing w:val="-5"/>
          <w:sz w:val="28"/>
        </w:rPr>
      </w:pPr>
      <w:r>
        <w:rPr>
          <w:rFonts w:ascii="Arial" w:eastAsia="Arial" w:hAnsi="Arial"/>
          <w:color w:val="000000"/>
          <w:spacing w:val="-5"/>
          <w:sz w:val="28"/>
        </w:rPr>
        <w:t>defendant</w:t>
      </w:r>
      <w:r>
        <w:rPr>
          <w:rFonts w:ascii="Arial" w:eastAsia="Arial" w:hAnsi="Arial"/>
          <w:color w:val="000000"/>
          <w:spacing w:val="-5"/>
          <w:w w:val="105"/>
          <w:sz w:val="34"/>
        </w:rPr>
        <w:t xml:space="preserve">, </w:t>
      </w:r>
      <w:r>
        <w:rPr>
          <w:rFonts w:ascii="Arial" w:eastAsia="Arial" w:hAnsi="Arial"/>
          <w:i/>
          <w:color w:val="000000"/>
          <w:spacing w:val="-5"/>
          <w:sz w:val="27"/>
          <w:u w:val="single"/>
        </w:rPr>
        <w:t xml:space="preserve"> (defendant's name) </w:t>
      </w:r>
      <w:r>
        <w:rPr>
          <w:rFonts w:ascii="Arial" w:eastAsia="Arial" w:hAnsi="Arial"/>
          <w:color w:val="000000"/>
          <w:spacing w:val="-5"/>
          <w:sz w:val="28"/>
        </w:rPr>
        <w:t xml:space="preserve"> , caused physical injury by means of a deadly weapon [</w:t>
      </w:r>
      <w:r>
        <w:rPr>
          <w:rFonts w:ascii="Arial" w:eastAsia="Arial" w:hAnsi="Arial"/>
          <w:i/>
          <w:color w:val="000000"/>
          <w:spacing w:val="-5"/>
          <w:sz w:val="28"/>
        </w:rPr>
        <w:t xml:space="preserve">or </w:t>
      </w:r>
      <w:r>
        <w:rPr>
          <w:rFonts w:ascii="Arial" w:eastAsia="Arial" w:hAnsi="Arial"/>
          <w:color w:val="000000"/>
          <w:spacing w:val="-5"/>
          <w:sz w:val="28"/>
        </w:rPr>
        <w:t>dangerous instrument] to (</w:t>
      </w:r>
      <w:r>
        <w:rPr>
          <w:rFonts w:ascii="Arial" w:eastAsia="Arial" w:hAnsi="Arial"/>
          <w:i/>
          <w:color w:val="000000"/>
          <w:spacing w:val="-5"/>
          <w:sz w:val="28"/>
          <w:u w:val="single"/>
        </w:rPr>
        <w:t>specify</w:t>
      </w:r>
      <w:r>
        <w:rPr>
          <w:rFonts w:ascii="Arial" w:eastAsia="Arial" w:hAnsi="Arial"/>
          <w:i/>
          <w:color w:val="000000"/>
          <w:spacing w:val="-5"/>
          <w:sz w:val="28"/>
        </w:rPr>
        <w:t>)</w:t>
      </w:r>
      <w:r>
        <w:rPr>
          <w:rFonts w:ascii="Arial" w:eastAsia="Arial" w:hAnsi="Arial"/>
          <w:color w:val="000000"/>
          <w:spacing w:val="-5"/>
          <w:sz w:val="28"/>
        </w:rPr>
        <w:t>; and</w:t>
      </w:r>
    </w:p>
    <w:p w14:paraId="6032CB26" w14:textId="77777777" w:rsidR="00431A57" w:rsidRDefault="00702CD9">
      <w:pPr>
        <w:numPr>
          <w:ilvl w:val="0"/>
          <w:numId w:val="1"/>
        </w:numPr>
        <w:tabs>
          <w:tab w:val="clear" w:pos="288"/>
          <w:tab w:val="left" w:pos="1080"/>
        </w:tabs>
        <w:spacing w:before="302" w:line="326" w:lineRule="exact"/>
        <w:ind w:firstLine="792"/>
        <w:textAlignment w:val="baseline"/>
        <w:rPr>
          <w:rFonts w:ascii="Arial" w:eastAsia="Arial" w:hAnsi="Arial"/>
          <w:color w:val="000000"/>
          <w:sz w:val="28"/>
        </w:rPr>
      </w:pPr>
      <w:r>
        <w:rPr>
          <w:rFonts w:ascii="Arial" w:eastAsia="Arial" w:hAnsi="Arial"/>
          <w:color w:val="000000"/>
          <w:sz w:val="28"/>
        </w:rPr>
        <w:t>That the defendant did so with criminal negligence</w:t>
      </w:r>
      <w:r>
        <w:rPr>
          <w:rFonts w:ascii="Arial" w:eastAsia="Arial" w:hAnsi="Arial"/>
          <w:b/>
          <w:color w:val="000000"/>
          <w:sz w:val="28"/>
        </w:rPr>
        <w:t>.</w:t>
      </w:r>
    </w:p>
    <w:p w14:paraId="6032CB27" w14:textId="77777777" w:rsidR="00431A57" w:rsidRDefault="00702CD9">
      <w:pPr>
        <w:spacing w:before="292" w:line="309"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032CB28" w14:textId="77777777" w:rsidR="00431A57" w:rsidRDefault="00702CD9">
      <w:pPr>
        <w:spacing w:before="312" w:line="304"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sectPr w:rsidR="00431A57">
      <w:pgSz w:w="12240" w:h="15840"/>
      <w:pgMar w:top="1440" w:right="2133" w:bottom="1323" w:left="2149" w:header="720" w:footer="1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10FD" w14:textId="77777777" w:rsidR="00702CD9" w:rsidRDefault="00702CD9">
      <w:r>
        <w:separator/>
      </w:r>
    </w:p>
  </w:endnote>
  <w:endnote w:type="continuationSeparator" w:id="0">
    <w:p w14:paraId="5DE3E480" w14:textId="77777777" w:rsidR="00702CD9" w:rsidRDefault="0070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CB2D" w14:textId="09CC9286" w:rsidR="00431A57" w:rsidRDefault="00702CD9">
    <w:pPr>
      <w:tabs>
        <w:tab w:val="left" w:pos="3830"/>
      </w:tabs>
      <w:spacing w:line="288"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342D1E">
      <w:rPr>
        <w:rFonts w:ascii="Arial" w:eastAsia="Arial" w:hAnsi="Arial"/>
        <w:color w:val="000000"/>
        <w:sz w:val="26"/>
      </w:rPr>
      <w:fldChar w:fldCharType="separate"/>
    </w:r>
    <w:r w:rsidR="00342D1E">
      <w:rPr>
        <w:rFonts w:ascii="Arial" w:eastAsia="Arial" w:hAnsi="Arial"/>
        <w:noProof/>
        <w:color w:val="000000"/>
        <w:sz w:val="26"/>
      </w:rPr>
      <w:t>3</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7F0C" w14:textId="77777777" w:rsidR="00702CD9" w:rsidRDefault="00702CD9">
      <w:r>
        <w:separator/>
      </w:r>
    </w:p>
  </w:footnote>
  <w:footnote w:type="continuationSeparator" w:id="0">
    <w:p w14:paraId="3BAFDB96" w14:textId="77777777" w:rsidR="00702CD9" w:rsidRDefault="0070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7456"/>
    <w:multiLevelType w:val="multilevel"/>
    <w:tmpl w:val="A878B10C"/>
    <w:lvl w:ilvl="0">
      <w:start w:val="1"/>
      <w:numFmt w:val="decimal"/>
      <w:lvlText w:val="%1."/>
      <w:lvlJc w:val="left"/>
      <w:pPr>
        <w:tabs>
          <w:tab w:val="left" w:pos="288"/>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31A57"/>
    <w:rsid w:val="000C41DF"/>
    <w:rsid w:val="00307D14"/>
    <w:rsid w:val="00342D1E"/>
    <w:rsid w:val="00431A57"/>
    <w:rsid w:val="00702CD9"/>
    <w:rsid w:val="00A0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32CAEF"/>
  <w15:docId w15:val="{05514ED1-D404-406B-BA9F-C6E46E9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5</cp:revision>
  <dcterms:created xsi:type="dcterms:W3CDTF">2020-12-28T19:33:00Z</dcterms:created>
  <dcterms:modified xsi:type="dcterms:W3CDTF">2020-12-28T19:37:00Z</dcterms:modified>
</cp:coreProperties>
</file>