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B983" w14:textId="77777777" w:rsidR="00C36062" w:rsidRDefault="00C36062">
      <w:pPr>
        <w:kinsoku w:val="0"/>
        <w:overflowPunct w:val="0"/>
        <w:autoSpaceDE/>
        <w:autoSpaceDN/>
        <w:adjustRightInd/>
        <w:spacing w:before="2" w:line="331" w:lineRule="exact"/>
        <w:jc w:val="center"/>
        <w:textAlignment w:val="baseline"/>
        <w:rPr>
          <w:rFonts w:ascii="Arial" w:hAnsi="Arial"/>
          <w:b/>
          <w:sz w:val="17"/>
        </w:rPr>
      </w:pPr>
      <w:r>
        <w:rPr>
          <w:rFonts w:ascii="Arial" w:hAnsi="Arial"/>
          <w:b/>
          <w:sz w:val="28"/>
        </w:rPr>
        <w:t>CRIMINAL SALE OF A FIREARM</w:t>
      </w:r>
      <w:r>
        <w:rPr>
          <w:rFonts w:ascii="Arial" w:hAnsi="Arial"/>
          <w:b/>
          <w:sz w:val="28"/>
        </w:rPr>
        <w:br/>
        <w:t>IN THE SECOND DEGREE</w:t>
      </w:r>
      <w:r>
        <w:rPr>
          <w:rFonts w:ascii="Arial" w:hAnsi="Arial"/>
          <w:b/>
          <w:sz w:val="28"/>
        </w:rPr>
        <w:br/>
        <w:t>(Five [5] or more)</w:t>
      </w:r>
      <w:r>
        <w:rPr>
          <w:rFonts w:ascii="Arial" w:hAnsi="Arial"/>
          <w:b/>
          <w:sz w:val="28"/>
        </w:rPr>
        <w:br/>
        <w:t>Penal Law § 265.12 (1)</w:t>
      </w:r>
      <w:r>
        <w:rPr>
          <w:rFonts w:ascii="Arial" w:hAnsi="Arial"/>
          <w:b/>
          <w:sz w:val="28"/>
        </w:rPr>
        <w:br/>
        <w:t>(Committed on or after Dec. 21, 2005</w:t>
      </w:r>
      <w:r>
        <w:rPr>
          <w:rFonts w:ascii="Arial" w:hAnsi="Arial"/>
          <w:b/>
          <w:sz w:val="28"/>
          <w:vertAlign w:val="superscript"/>
        </w:rPr>
        <w:t>1</w:t>
      </w:r>
      <w:r>
        <w:rPr>
          <w:rFonts w:ascii="Arial" w:hAnsi="Arial"/>
          <w:b/>
          <w:sz w:val="28"/>
        </w:rPr>
        <w:t>)</w:t>
      </w:r>
      <w:r>
        <w:rPr>
          <w:rFonts w:ascii="Arial" w:hAnsi="Arial"/>
          <w:b/>
          <w:sz w:val="28"/>
        </w:rPr>
        <w:br/>
      </w:r>
      <w:r w:rsidRPr="00DA1049">
        <w:rPr>
          <w:rFonts w:ascii="Arial" w:hAnsi="Arial"/>
          <w:bCs/>
          <w:sz w:val="22"/>
          <w:szCs w:val="22"/>
        </w:rPr>
        <w:t>(Revised July 2016)</w:t>
      </w:r>
      <w:r w:rsidRPr="00DA1049">
        <w:rPr>
          <w:rFonts w:ascii="Arial" w:hAnsi="Arial"/>
          <w:bCs/>
          <w:sz w:val="22"/>
          <w:szCs w:val="22"/>
          <w:vertAlign w:val="superscript"/>
        </w:rPr>
        <w:t>2</w:t>
      </w:r>
    </w:p>
    <w:p w14:paraId="5AF2972D" w14:textId="77777777" w:rsidR="00C36062" w:rsidRDefault="00C36062">
      <w:pPr>
        <w:kinsoku w:val="0"/>
        <w:overflowPunct w:val="0"/>
        <w:autoSpaceDE/>
        <w:autoSpaceDN/>
        <w:adjustRightInd/>
        <w:spacing w:before="658" w:line="322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Criminal Sale of a Firearm in the Second Degree.</w:t>
      </w:r>
    </w:p>
    <w:p w14:paraId="279E8938" w14:textId="77777777" w:rsidR="00C36062" w:rsidRDefault="00C36062">
      <w:pPr>
        <w:kinsoku w:val="0"/>
        <w:overflowPunct w:val="0"/>
        <w:autoSpaceDE/>
        <w:autoSpaceDN/>
        <w:adjustRightInd/>
        <w:spacing w:before="325" w:line="323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our law, a person is guilty of Criminal Sale of a Firearm in the Second Degree when that person knowingly</w:t>
      </w:r>
      <w:r>
        <w:rPr>
          <w:rFonts w:ascii="Arial" w:hAnsi="Arial"/>
          <w:sz w:val="28"/>
          <w:vertAlign w:val="superscript"/>
        </w:rPr>
        <w:t>3</w:t>
      </w:r>
      <w:r>
        <w:rPr>
          <w:rFonts w:ascii="Arial" w:hAnsi="Arial"/>
          <w:sz w:val="28"/>
        </w:rPr>
        <w:t xml:space="preserve"> and unlawfully sells, exchanges, gives, or disposes of to another five or more firearms.</w:t>
      </w:r>
    </w:p>
    <w:p w14:paraId="0802E417" w14:textId="77777777" w:rsidR="00C36062" w:rsidRDefault="00C36062">
      <w:pPr>
        <w:kinsoku w:val="0"/>
        <w:overflowPunct w:val="0"/>
        <w:autoSpaceDE/>
        <w:autoSpaceDN/>
        <w:adjustRightInd/>
        <w:spacing w:before="331" w:line="322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terms used in that definition have a special meaning:</w:t>
      </w:r>
    </w:p>
    <w:p w14:paraId="71F5096A" w14:textId="77777777" w:rsidR="00C36062" w:rsidRDefault="00C36062">
      <w:pPr>
        <w:kinsoku w:val="0"/>
        <w:overflowPunct w:val="0"/>
        <w:autoSpaceDE/>
        <w:autoSpaceDN/>
        <w:adjustRightInd/>
        <w:spacing w:before="324" w:after="832" w:line="320" w:lineRule="exact"/>
        <w:ind w:left="720"/>
        <w:textAlignment w:val="baseline"/>
        <w:rPr>
          <w:rFonts w:ascii="Arial" w:hAnsi="Arial"/>
          <w:spacing w:val="-1"/>
          <w:sz w:val="17"/>
        </w:rPr>
      </w:pPr>
      <w:r>
        <w:rPr>
          <w:rFonts w:ascii="Arial" w:hAnsi="Arial"/>
          <w:spacing w:val="-1"/>
          <w:sz w:val="28"/>
        </w:rPr>
        <w:t>A FIREARM means any pistol or revolver.</w:t>
      </w:r>
      <w:r>
        <w:rPr>
          <w:rFonts w:ascii="Arial" w:hAnsi="Arial"/>
          <w:spacing w:val="-1"/>
          <w:sz w:val="28"/>
          <w:vertAlign w:val="superscript"/>
        </w:rPr>
        <w:t>4</w:t>
      </w:r>
    </w:p>
    <w:p w14:paraId="60771726" w14:textId="747687EF" w:rsidR="00C36062" w:rsidRDefault="004B251A" w:rsidP="007E25F5">
      <w:pPr>
        <w:kinsoku w:val="0"/>
        <w:overflowPunct w:val="0"/>
        <w:autoSpaceDE/>
        <w:autoSpaceDN/>
        <w:adjustRightInd/>
        <w:spacing w:before="249"/>
        <w:ind w:firstLine="720"/>
        <w:jc w:val="both"/>
        <w:textAlignment w:val="baseline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B661A63" wp14:editId="1C7FF8BF">
                <wp:simplePos x="0" y="0"/>
                <wp:positionH relativeFrom="page">
                  <wp:posOffset>1371600</wp:posOffset>
                </wp:positionH>
                <wp:positionV relativeFrom="page">
                  <wp:posOffset>5370830</wp:posOffset>
                </wp:positionV>
                <wp:extent cx="1829435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AA7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422.9pt" to="252.0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" o:allowincell="f" strokeweight=".95pt">
                <w10:wrap type="square" anchorx="page" anchory="page"/>
              </v:line>
            </w:pict>
          </mc:Fallback>
        </mc:AlternateContent>
      </w:r>
      <w:r w:rsidR="00C36062">
        <w:rPr>
          <w:rFonts w:ascii="Arial" w:hAnsi="Arial"/>
          <w:sz w:val="14"/>
          <w:vertAlign w:val="superscript"/>
        </w:rPr>
        <w:t>1</w:t>
      </w:r>
      <w:r w:rsidR="00C36062">
        <w:rPr>
          <w:rFonts w:ascii="Arial" w:hAnsi="Arial"/>
          <w:sz w:val="24"/>
        </w:rPr>
        <w:t xml:space="preserve"> The prior statute, Penal Law § 265.12, prohibited the sale of 10 or more firearms. Effective December 21, 2005, the law was amended as presently provided by Penal Law § 265.12 (1) and the instant charge (</w:t>
      </w:r>
      <w:r w:rsidR="00C36062">
        <w:rPr>
          <w:rFonts w:ascii="Arial" w:hAnsi="Arial"/>
          <w:i/>
          <w:sz w:val="24"/>
        </w:rPr>
        <w:t xml:space="preserve">see </w:t>
      </w:r>
      <w:r w:rsidR="00C36062">
        <w:rPr>
          <w:rFonts w:ascii="Arial" w:hAnsi="Arial"/>
          <w:sz w:val="24"/>
        </w:rPr>
        <w:t>L 2005, ch 764, § 6).</w:t>
      </w:r>
    </w:p>
    <w:p w14:paraId="71022333" w14:textId="2688895A" w:rsidR="00493D94" w:rsidRDefault="00C36062" w:rsidP="007E25F5">
      <w:pPr>
        <w:kinsoku w:val="0"/>
        <w:overflowPunct w:val="0"/>
        <w:autoSpaceDE/>
        <w:autoSpaceDN/>
        <w:adjustRightInd/>
        <w:spacing w:before="120"/>
        <w:ind w:firstLine="72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14"/>
          <w:vertAlign w:val="superscript"/>
        </w:rPr>
        <w:t>2</w:t>
      </w:r>
      <w:r>
        <w:rPr>
          <w:rFonts w:ascii="Arial" w:hAnsi="Arial"/>
          <w:sz w:val="24"/>
        </w:rPr>
        <w:t xml:space="preserve"> In July 2016, in light of </w:t>
      </w:r>
      <w:r>
        <w:rPr>
          <w:rFonts w:ascii="Arial" w:hAnsi="Arial"/>
          <w:i/>
          <w:sz w:val="24"/>
        </w:rPr>
        <w:t>People v Parrilla</w:t>
      </w:r>
      <w:r>
        <w:rPr>
          <w:rFonts w:ascii="Arial" w:hAnsi="Arial"/>
          <w:sz w:val="24"/>
        </w:rPr>
        <w:t xml:space="preserve">, </w:t>
      </w:r>
      <w:r w:rsidR="00B56B68" w:rsidRPr="00B56B68">
        <w:rPr>
          <w:rFonts w:ascii="Arial" w:hAnsi="Arial"/>
          <w:iCs/>
          <w:sz w:val="24"/>
        </w:rPr>
        <w:t>27 NY3d 400</w:t>
      </w:r>
      <w:r w:rsidR="00B56B68">
        <w:rPr>
          <w:rFonts w:ascii="Arial" w:hAnsi="Arial"/>
          <w:iCs/>
          <w:sz w:val="24"/>
        </w:rPr>
        <w:t xml:space="preserve"> [</w:t>
      </w:r>
      <w:r>
        <w:rPr>
          <w:rFonts w:ascii="Arial" w:hAnsi="Arial"/>
          <w:sz w:val="24"/>
        </w:rPr>
        <w:t>2016</w:t>
      </w:r>
      <w:r w:rsidR="00B56B68">
        <w:rPr>
          <w:rFonts w:ascii="Arial" w:hAnsi="Arial"/>
          <w:sz w:val="24"/>
        </w:rPr>
        <w:t>]</w:t>
      </w:r>
      <w:r>
        <w:rPr>
          <w:rFonts w:ascii="Arial" w:hAnsi="Arial"/>
          <w:sz w:val="24"/>
        </w:rPr>
        <w:t>, the charge was revised to better state the law with respect to the element of “knowingly.”</w:t>
      </w:r>
    </w:p>
    <w:p w14:paraId="00A49E81" w14:textId="77777777" w:rsidR="00493D94" w:rsidRPr="00AB726F" w:rsidRDefault="00C36062" w:rsidP="007E25F5">
      <w:pPr>
        <w:spacing w:before="120"/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pacing w:val="-3"/>
          <w:sz w:val="14"/>
          <w:vertAlign w:val="superscript"/>
        </w:rPr>
        <w:t>3</w:t>
      </w:r>
      <w:r>
        <w:rPr>
          <w:rFonts w:ascii="Arial" w:hAnsi="Arial"/>
          <w:spacing w:val="-3"/>
          <w:sz w:val="24"/>
        </w:rPr>
        <w:t xml:space="preserve"> </w:t>
      </w:r>
      <w:r w:rsidR="00493D94" w:rsidRPr="00AB726F">
        <w:rPr>
          <w:rFonts w:ascii="Arial" w:hAnsi="Arial" w:cs="Arial"/>
          <w:spacing w:val="-2"/>
          <w:sz w:val="22"/>
          <w:szCs w:val="22"/>
        </w:rPr>
        <w:t>The word "knowingly" has been added to this definition to comport with statutory law (</w:t>
      </w:r>
      <w:r w:rsidR="00493D94" w:rsidRPr="00AB726F">
        <w:rPr>
          <w:rFonts w:ascii="Arial" w:hAnsi="Arial" w:cs="Arial"/>
          <w:i/>
          <w:spacing w:val="-2"/>
          <w:sz w:val="22"/>
          <w:szCs w:val="22"/>
        </w:rPr>
        <w:t xml:space="preserve">see </w:t>
      </w:r>
      <w:r w:rsidR="00493D94" w:rsidRPr="00AB726F">
        <w:rPr>
          <w:rFonts w:ascii="Arial" w:hAnsi="Arial" w:cs="Arial"/>
          <w:spacing w:val="-2"/>
          <w:sz w:val="22"/>
          <w:szCs w:val="22"/>
        </w:rPr>
        <w:t xml:space="preserve">Penal Law § § 15.00(2) and 15.05 [2]) and with case law.   </w:t>
      </w:r>
      <w:r w:rsidR="00493D94" w:rsidRPr="00AB726F">
        <w:rPr>
          <w:rFonts w:ascii="Arial" w:hAnsi="Arial" w:cs="Arial"/>
          <w:i/>
          <w:iCs/>
          <w:spacing w:val="-2"/>
          <w:sz w:val="22"/>
          <w:szCs w:val="22"/>
        </w:rPr>
        <w:t>People v Persce</w:t>
      </w:r>
      <w:r w:rsidR="00493D94" w:rsidRPr="00AB726F">
        <w:rPr>
          <w:rFonts w:ascii="Arial" w:hAnsi="Arial" w:cs="Arial"/>
          <w:i/>
          <w:spacing w:val="-2"/>
          <w:sz w:val="22"/>
          <w:szCs w:val="22"/>
        </w:rPr>
        <w:t xml:space="preserve">, </w:t>
      </w:r>
      <w:r w:rsidR="00493D94" w:rsidRPr="00AB726F">
        <w:rPr>
          <w:rFonts w:ascii="Arial" w:hAnsi="Arial" w:cs="Arial"/>
          <w:iCs/>
          <w:spacing w:val="-2"/>
          <w:sz w:val="22"/>
          <w:szCs w:val="22"/>
        </w:rPr>
        <w:t xml:space="preserve">204 NY 397, 402 (1912) ("the possession [of a slungshot] which is meant is a knowing and voluntary one"); </w:t>
      </w:r>
      <w:r w:rsidR="00493D94" w:rsidRPr="00AB726F">
        <w:rPr>
          <w:rFonts w:ascii="Arial" w:hAnsi="Arial" w:cs="Arial"/>
          <w:i/>
          <w:iCs/>
          <w:spacing w:val="-2"/>
          <w:sz w:val="22"/>
          <w:szCs w:val="22"/>
        </w:rPr>
        <w:t>People v Saunders</w:t>
      </w:r>
      <w:r w:rsidR="00493D94" w:rsidRPr="00AB726F">
        <w:rPr>
          <w:rFonts w:ascii="Arial" w:hAnsi="Arial" w:cs="Arial"/>
          <w:i/>
          <w:spacing w:val="-2"/>
          <w:sz w:val="22"/>
          <w:szCs w:val="22"/>
        </w:rPr>
        <w:t xml:space="preserve">, </w:t>
      </w:r>
      <w:r w:rsidR="00493D94" w:rsidRPr="00AB726F">
        <w:rPr>
          <w:rFonts w:ascii="Arial" w:hAnsi="Arial" w:cs="Arial"/>
          <w:iCs/>
          <w:spacing w:val="-2"/>
          <w:sz w:val="22"/>
          <w:szCs w:val="22"/>
        </w:rPr>
        <w:t xml:space="preserve">85 NY2d 339, 341-42 (1995) ("’Possession,’ as part of the forbidden act, includes the Penal Law definitional component of ‘[v]oluntary act,’ which incorporates the attribute of awareness of the possession or control . . . .  Thus, the corpus delicti of weapons possession . . . is the voluntary, aware act of the possession of a weapon"); </w:t>
      </w:r>
      <w:r w:rsidR="00493D94" w:rsidRPr="00AB726F">
        <w:rPr>
          <w:rFonts w:ascii="Arial" w:hAnsi="Arial" w:cs="Arial"/>
          <w:i/>
          <w:spacing w:val="-2"/>
          <w:sz w:val="22"/>
          <w:szCs w:val="22"/>
        </w:rPr>
        <w:t xml:space="preserve">People v Ford, </w:t>
      </w:r>
      <w:r w:rsidR="00493D94" w:rsidRPr="00AB726F">
        <w:rPr>
          <w:rFonts w:ascii="Arial" w:hAnsi="Arial" w:cs="Arial"/>
          <w:spacing w:val="-2"/>
          <w:sz w:val="22"/>
          <w:szCs w:val="22"/>
        </w:rPr>
        <w:t>66 NY2d 428, 440 (1985) (the offense of possession of a loaded firearm requires that the possession be knowing)</w:t>
      </w:r>
      <w:r w:rsidR="00493D94">
        <w:rPr>
          <w:rFonts w:ascii="Arial" w:hAnsi="Arial" w:cs="Arial"/>
          <w:spacing w:val="-2"/>
          <w:sz w:val="22"/>
          <w:szCs w:val="22"/>
        </w:rPr>
        <w:t>.</w:t>
      </w:r>
    </w:p>
    <w:p w14:paraId="3EDB0B27" w14:textId="77777777" w:rsidR="002161E5" w:rsidRDefault="00C36062" w:rsidP="008C40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E25F5">
        <w:rPr>
          <w:rFonts w:ascii="Arial" w:hAnsi="Arial"/>
          <w:sz w:val="22"/>
          <w:szCs w:val="22"/>
          <w:vertAlign w:val="superscript"/>
        </w:rPr>
        <w:t>4</w:t>
      </w:r>
      <w:r w:rsidRPr="007E25F5">
        <w:rPr>
          <w:rFonts w:ascii="Arial" w:hAnsi="Arial"/>
          <w:sz w:val="22"/>
          <w:szCs w:val="22"/>
        </w:rPr>
        <w:t xml:space="preserve"> Penal Law § 265.00 (3). </w:t>
      </w:r>
      <w:r w:rsidR="002161E5" w:rsidRPr="00AB726F">
        <w:rPr>
          <w:rFonts w:ascii="Arial" w:hAnsi="Arial" w:cs="Arial"/>
          <w:sz w:val="22"/>
          <w:szCs w:val="22"/>
        </w:rPr>
        <w:t xml:space="preserve">Penal Law § 265.00(3).  The statutory definition of a “firearm” includes other weapons.  If, therefore, a firearm, other than a pistol or revolver, is in issue, see </w:t>
      </w:r>
      <w:r w:rsidR="002161E5" w:rsidRPr="002161E5">
        <w:rPr>
          <w:rFonts w:ascii="Arial" w:hAnsi="Arial" w:cs="Arial"/>
          <w:b/>
          <w:bCs/>
          <w:sz w:val="22"/>
          <w:szCs w:val="22"/>
        </w:rPr>
        <w:t>“</w:t>
      </w:r>
      <w:r w:rsidR="002161E5" w:rsidRPr="002161E5">
        <w:rPr>
          <w:rStyle w:val="Strong"/>
          <w:rFonts w:ascii="Arial" w:hAnsi="Arial" w:cs="Arial"/>
          <w:b w:val="0"/>
          <w:bCs w:val="0"/>
          <w:sz w:val="22"/>
          <w:szCs w:val="22"/>
        </w:rPr>
        <w:t>DEFINITION OF FIREARM AS OTHER THAN A PISTOL OR REVOLVER” in</w:t>
      </w:r>
      <w:r w:rsidR="002161E5" w:rsidRPr="00AB726F">
        <w:rPr>
          <w:rStyle w:val="Strong"/>
          <w:rFonts w:ascii="Arial" w:hAnsi="Arial" w:cs="Arial"/>
          <w:sz w:val="22"/>
          <w:szCs w:val="22"/>
        </w:rPr>
        <w:t xml:space="preserve"> </w:t>
      </w:r>
      <w:r w:rsidR="002161E5" w:rsidRPr="00AB726F">
        <w:rPr>
          <w:rFonts w:ascii="Arial" w:hAnsi="Arial" w:cs="Arial"/>
          <w:sz w:val="22"/>
          <w:szCs w:val="22"/>
        </w:rPr>
        <w:t>"Additional Charges” at the end of the Table of Contents for Penal Law article 265 crimes.</w:t>
      </w:r>
    </w:p>
    <w:p w14:paraId="0214A825" w14:textId="7447AC6F" w:rsidR="00C36062" w:rsidRDefault="00C36062" w:rsidP="002161E5">
      <w:pPr>
        <w:kinsoku w:val="0"/>
        <w:overflowPunct w:val="0"/>
        <w:autoSpaceDE/>
        <w:autoSpaceDN/>
        <w:adjustRightInd/>
        <w:spacing w:before="221"/>
        <w:ind w:firstLine="720"/>
        <w:jc w:val="both"/>
        <w:textAlignment w:val="baseline"/>
        <w:rPr>
          <w:sz w:val="24"/>
        </w:rPr>
        <w:sectPr w:rsidR="00C36062">
          <w:pgSz w:w="12240" w:h="15840"/>
          <w:pgMar w:top="1080" w:right="2140" w:bottom="1024" w:left="2160" w:header="720" w:footer="0" w:gutter="0"/>
          <w:cols w:space="720"/>
          <w:noEndnote/>
        </w:sectPr>
      </w:pPr>
    </w:p>
    <w:p w14:paraId="6D834CE9" w14:textId="77777777" w:rsidR="00C36062" w:rsidRDefault="00C36062">
      <w:pPr>
        <w:kinsoku w:val="0"/>
        <w:overflowPunct w:val="0"/>
        <w:autoSpaceDE/>
        <w:autoSpaceDN/>
        <w:adjustRightInd/>
        <w:spacing w:before="2" w:line="324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lastRenderedPageBreak/>
        <w:t>A person KNOWINGLY sells, exchanges, gives, or disposes of five or more firearms to another when that person is aware that he or she is doing so.</w:t>
      </w:r>
      <w:r>
        <w:rPr>
          <w:rFonts w:ascii="Arial" w:hAnsi="Arial"/>
          <w:sz w:val="28"/>
          <w:vertAlign w:val="superscript"/>
        </w:rPr>
        <w:t>5</w:t>
      </w:r>
    </w:p>
    <w:p w14:paraId="612A6CB3" w14:textId="27A57784" w:rsidR="00C36062" w:rsidRDefault="00C36062">
      <w:pPr>
        <w:kinsoku w:val="0"/>
        <w:overflowPunct w:val="0"/>
        <w:autoSpaceDE/>
        <w:autoSpaceDN/>
        <w:adjustRightInd/>
        <w:spacing w:before="317" w:line="324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 xml:space="preserve">Under this count, a firearm need not be loaded but it must be operable. To be operable, a firearm must be capable of discharging ammunition. </w:t>
      </w:r>
      <w:r w:rsidR="008A7819">
        <w:rPr>
          <w:rFonts w:ascii="Arial" w:hAnsi="Arial"/>
          <w:sz w:val="28"/>
        </w:rPr>
        <w:t>A person who sells, exchanges, gives, or disposes of a firearm</w:t>
      </w:r>
      <w:r>
        <w:rPr>
          <w:rFonts w:ascii="Arial" w:hAnsi="Arial"/>
          <w:sz w:val="28"/>
        </w:rPr>
        <w:t xml:space="preserve"> is not required to know that the firearm </w:t>
      </w:r>
      <w:r w:rsidR="005B771B">
        <w:rPr>
          <w:rFonts w:ascii="Arial" w:hAnsi="Arial"/>
          <w:sz w:val="28"/>
        </w:rPr>
        <w:t>i</w:t>
      </w:r>
      <w:r>
        <w:rPr>
          <w:rFonts w:ascii="Arial" w:hAnsi="Arial"/>
          <w:sz w:val="28"/>
        </w:rPr>
        <w:t>s operable.</w:t>
      </w:r>
      <w:r>
        <w:rPr>
          <w:rFonts w:ascii="Arial" w:hAnsi="Arial"/>
          <w:sz w:val="28"/>
          <w:vertAlign w:val="superscript"/>
        </w:rPr>
        <w:t>6</w:t>
      </w:r>
    </w:p>
    <w:p w14:paraId="3398E8B8" w14:textId="08711696" w:rsidR="00C36062" w:rsidRDefault="00C36062">
      <w:pPr>
        <w:kinsoku w:val="0"/>
        <w:overflowPunct w:val="0"/>
        <w:autoSpaceDE/>
        <w:autoSpaceDN/>
        <w:adjustRightInd/>
        <w:spacing w:before="327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 person UNLAWFULLY sells, exchanges, gives, or disposes of five or more firearms to another when he has no legal right to do so.</w:t>
      </w:r>
      <w:r>
        <w:rPr>
          <w:rFonts w:ascii="Arial" w:hAnsi="Arial"/>
          <w:sz w:val="28"/>
          <w:vertAlign w:val="superscript"/>
        </w:rPr>
        <w:t>7</w:t>
      </w:r>
      <w:r>
        <w:rPr>
          <w:rFonts w:ascii="Arial" w:hAnsi="Arial"/>
          <w:sz w:val="28"/>
        </w:rPr>
        <w:t xml:space="preserve"> Under our law, with certain exceptions not applicable here, a person has no legal right to sell, exchange, give, or dispose of a firearm.</w:t>
      </w:r>
    </w:p>
    <w:p w14:paraId="0C249E95" w14:textId="77777777" w:rsidR="00C36062" w:rsidRDefault="00C36062">
      <w:pPr>
        <w:kinsoku w:val="0"/>
        <w:overflowPunct w:val="0"/>
        <w:autoSpaceDE/>
        <w:autoSpaceDN/>
        <w:adjustRightInd/>
        <w:spacing w:before="346" w:line="307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DISPOSE OF means to dispose of, give away, lease, loan, keep for sale, offer for sale, sell, transfer and otherwise dispose of.</w:t>
      </w:r>
      <w:r>
        <w:rPr>
          <w:rFonts w:ascii="Arial" w:hAnsi="Arial"/>
          <w:sz w:val="28"/>
          <w:vertAlign w:val="superscript"/>
        </w:rPr>
        <w:t>8</w:t>
      </w:r>
    </w:p>
    <w:p w14:paraId="73E47565" w14:textId="77777777" w:rsidR="00C36062" w:rsidRDefault="00C36062">
      <w:pPr>
        <w:kinsoku w:val="0"/>
        <w:overflowPunct w:val="0"/>
        <w:autoSpaceDE/>
        <w:autoSpaceDN/>
        <w:adjustRightInd/>
        <w:spacing w:before="358" w:after="1069" w:line="324" w:lineRule="exact"/>
        <w:ind w:firstLine="720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>In order for you to find the defendant guilty of this crime, the People are required to prove, from all of the evidence in the case, beyond a reasonable doubt, each of the following three elements:</w:t>
      </w:r>
    </w:p>
    <w:p w14:paraId="2223B090" w14:textId="77777777" w:rsidR="00F85CBE" w:rsidRDefault="004B251A" w:rsidP="009B5DF7">
      <w:pPr>
        <w:kinsoku w:val="0"/>
        <w:overflowPunct w:val="0"/>
        <w:autoSpaceDE/>
        <w:autoSpaceDN/>
        <w:adjustRightInd/>
        <w:spacing w:before="120" w:line="276" w:lineRule="exact"/>
        <w:ind w:firstLine="7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70F12BF" wp14:editId="269A7B6C">
                <wp:simplePos x="0" y="0"/>
                <wp:positionH relativeFrom="page">
                  <wp:posOffset>1369695</wp:posOffset>
                </wp:positionH>
                <wp:positionV relativeFrom="page">
                  <wp:posOffset>6114415</wp:posOffset>
                </wp:positionV>
                <wp:extent cx="1831340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B621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7.85pt,481.45pt" to="252.0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" o:allowincell="f" strokeweight="1.2pt">
                <w10:wrap type="square" anchorx="page" anchory="page"/>
              </v:line>
            </w:pict>
          </mc:Fallback>
        </mc:AlternateContent>
      </w:r>
      <w:r w:rsidR="009D16C4">
        <w:rPr>
          <w:rFonts w:ascii="Arial" w:hAnsi="Arial"/>
          <w:sz w:val="14"/>
          <w:vertAlign w:val="superscript"/>
        </w:rPr>
        <w:t>5</w:t>
      </w:r>
      <w:r w:rsidR="00C36062">
        <w:rPr>
          <w:rFonts w:ascii="Arial" w:hAnsi="Arial"/>
          <w:i/>
          <w:sz w:val="24"/>
        </w:rPr>
        <w:t xml:space="preserve"> </w:t>
      </w:r>
      <w:r w:rsidR="00C36062" w:rsidRPr="00F85CBE">
        <w:rPr>
          <w:rFonts w:ascii="Arial" w:hAnsi="Arial"/>
          <w:i/>
          <w:sz w:val="22"/>
          <w:szCs w:val="22"/>
        </w:rPr>
        <w:t xml:space="preserve">See </w:t>
      </w:r>
      <w:r w:rsidR="00C36062" w:rsidRPr="00F85CBE">
        <w:rPr>
          <w:rFonts w:ascii="Arial" w:hAnsi="Arial"/>
          <w:sz w:val="22"/>
          <w:szCs w:val="22"/>
        </w:rPr>
        <w:t>Penal Law § 15.05 (2). For an expanded charge on the definition of "knowingly," see Instructions of General Applicability, Culpable Mental States, Knowingly.</w:t>
      </w:r>
    </w:p>
    <w:p w14:paraId="7E70CDE3" w14:textId="77777777" w:rsidR="009B5DF7" w:rsidRDefault="009D16C4" w:rsidP="009B5DF7">
      <w:pPr>
        <w:kinsoku w:val="0"/>
        <w:overflowPunct w:val="0"/>
        <w:autoSpaceDE/>
        <w:autoSpaceDN/>
        <w:adjustRightInd/>
        <w:spacing w:before="120" w:line="276" w:lineRule="exact"/>
        <w:ind w:firstLine="720"/>
        <w:jc w:val="both"/>
        <w:textAlignment w:val="baseline"/>
        <w:rPr>
          <w:rFonts w:ascii="Arial" w:eastAsia="Yu Gothic UI" w:hAnsi="Arial" w:cs="Arial"/>
          <w:sz w:val="22"/>
          <w:szCs w:val="22"/>
        </w:rPr>
      </w:pPr>
      <w:r w:rsidRPr="00F85CBE">
        <w:rPr>
          <w:rFonts w:ascii="Arial" w:hAnsi="Arial"/>
          <w:spacing w:val="-2"/>
          <w:sz w:val="22"/>
          <w:szCs w:val="22"/>
          <w:vertAlign w:val="superscript"/>
        </w:rPr>
        <w:t>8</w:t>
      </w:r>
      <w:r w:rsidR="00C36062" w:rsidRPr="00F85CBE">
        <w:rPr>
          <w:rFonts w:ascii="Arial" w:hAnsi="Arial"/>
          <w:spacing w:val="-2"/>
          <w:sz w:val="22"/>
          <w:szCs w:val="22"/>
        </w:rPr>
        <w:t xml:space="preserve"> Case law has added "operability" of a firearm as an element of the crime (</w:t>
      </w:r>
      <w:r w:rsidR="00C36062" w:rsidRPr="00F85CBE">
        <w:rPr>
          <w:rFonts w:ascii="Arial" w:hAnsi="Arial"/>
          <w:i/>
          <w:spacing w:val="-2"/>
          <w:sz w:val="22"/>
          <w:szCs w:val="22"/>
        </w:rPr>
        <w:t xml:space="preserve">see People v Longshore, </w:t>
      </w:r>
      <w:r w:rsidR="00C36062" w:rsidRPr="00F85CBE">
        <w:rPr>
          <w:rFonts w:ascii="Arial" w:hAnsi="Arial"/>
          <w:spacing w:val="-2"/>
          <w:sz w:val="22"/>
          <w:szCs w:val="22"/>
        </w:rPr>
        <w:t>86 NY2d 851, 852 [1995]), but has further held that there is no requirement that the possessor know the firearm was operable</w:t>
      </w:r>
      <w:r w:rsidR="00B56B68" w:rsidRPr="00F85CBE">
        <w:rPr>
          <w:rFonts w:ascii="Arial" w:hAnsi="Arial"/>
          <w:spacing w:val="-2"/>
          <w:sz w:val="22"/>
          <w:szCs w:val="22"/>
        </w:rPr>
        <w:t xml:space="preserve">. </w:t>
      </w:r>
      <w:r w:rsidR="00B56B68" w:rsidRPr="00F85CBE">
        <w:rPr>
          <w:rFonts w:ascii="Arial" w:hAnsi="Arial"/>
          <w:i/>
          <w:iCs/>
          <w:spacing w:val="-2"/>
          <w:sz w:val="22"/>
          <w:szCs w:val="22"/>
        </w:rPr>
        <w:t xml:space="preserve">See </w:t>
      </w:r>
      <w:r w:rsidR="00C36062" w:rsidRPr="00F85CBE">
        <w:rPr>
          <w:rFonts w:ascii="Arial" w:hAnsi="Arial"/>
          <w:i/>
          <w:spacing w:val="-2"/>
          <w:sz w:val="22"/>
          <w:szCs w:val="22"/>
        </w:rPr>
        <w:t>Parrilla</w:t>
      </w:r>
      <w:r w:rsidR="00B56B68" w:rsidRPr="00F85CBE">
        <w:rPr>
          <w:rFonts w:ascii="Arial" w:hAnsi="Arial"/>
          <w:spacing w:val="-2"/>
          <w:sz w:val="22"/>
          <w:szCs w:val="22"/>
        </w:rPr>
        <w:t xml:space="preserve"> at 405 </w:t>
      </w:r>
      <w:r w:rsidR="00C36062" w:rsidRPr="00F85CBE">
        <w:rPr>
          <w:rFonts w:ascii="Arial" w:hAnsi="Arial"/>
          <w:spacing w:val="-2"/>
          <w:sz w:val="22"/>
          <w:szCs w:val="22"/>
        </w:rPr>
        <w:t xml:space="preserve">[“Defendants need only knowingly possess a firearm, they need not know that the firearm was loaded or operable”]; </w:t>
      </w:r>
      <w:r w:rsidR="00C36062" w:rsidRPr="00F85CBE">
        <w:rPr>
          <w:rFonts w:ascii="Arial" w:hAnsi="Arial"/>
          <w:i/>
          <w:spacing w:val="-2"/>
          <w:sz w:val="22"/>
          <w:szCs w:val="22"/>
        </w:rPr>
        <w:t xml:space="preserve">People v Saunders, </w:t>
      </w:r>
      <w:r w:rsidR="00C36062" w:rsidRPr="00F85CBE">
        <w:rPr>
          <w:rFonts w:ascii="Arial" w:hAnsi="Arial"/>
          <w:spacing w:val="-2"/>
          <w:sz w:val="22"/>
          <w:szCs w:val="22"/>
        </w:rPr>
        <w:t xml:space="preserve">85 NY2d 339, 341-342 [1995]; </w:t>
      </w:r>
      <w:r w:rsidR="00C36062" w:rsidRPr="00F85CBE">
        <w:rPr>
          <w:rFonts w:ascii="Arial" w:hAnsi="Arial"/>
          <w:i/>
          <w:spacing w:val="-2"/>
          <w:sz w:val="22"/>
          <w:szCs w:val="22"/>
        </w:rPr>
        <w:t xml:space="preserve">People v Ansare, </w:t>
      </w:r>
      <w:r w:rsidR="00C36062" w:rsidRPr="00F85CBE">
        <w:rPr>
          <w:rFonts w:ascii="Arial" w:hAnsi="Arial"/>
          <w:spacing w:val="-2"/>
          <w:sz w:val="22"/>
          <w:szCs w:val="22"/>
        </w:rPr>
        <w:t>96 AD2d 96, 97 [4th Dept 1983].</w:t>
      </w:r>
      <w:r w:rsidR="00F85CBE" w:rsidRPr="00F85CBE">
        <w:rPr>
          <w:rFonts w:ascii="Arial" w:hAnsi="Arial"/>
          <w:spacing w:val="-2"/>
          <w:sz w:val="22"/>
          <w:szCs w:val="22"/>
        </w:rPr>
        <w:t xml:space="preserve">  </w:t>
      </w:r>
      <w:r w:rsidR="00F85CBE" w:rsidRPr="00F85CBE">
        <w:rPr>
          <w:rFonts w:ascii="Arial" w:hAnsi="Arial" w:cs="Arial"/>
          <w:sz w:val="22"/>
          <w:szCs w:val="22"/>
        </w:rPr>
        <w:t xml:space="preserve">In December 2022, the last sentence was substituted for: “The defendant </w:t>
      </w:r>
      <w:r w:rsidR="00F85CBE" w:rsidRPr="00F85CBE">
        <w:rPr>
          <w:rFonts w:ascii="Arial" w:eastAsia="Yu Gothic UI" w:hAnsi="Arial" w:cs="Arial"/>
          <w:sz w:val="22"/>
          <w:szCs w:val="22"/>
        </w:rPr>
        <w:t>is not required to know that the firearm was operable.”</w:t>
      </w:r>
    </w:p>
    <w:p w14:paraId="010BCC76" w14:textId="29CB7C6B" w:rsidR="00C36062" w:rsidRPr="00F85CBE" w:rsidRDefault="00C36062" w:rsidP="009B5DF7">
      <w:pPr>
        <w:kinsoku w:val="0"/>
        <w:overflowPunct w:val="0"/>
        <w:autoSpaceDE/>
        <w:autoSpaceDN/>
        <w:adjustRightInd/>
        <w:spacing w:before="100" w:beforeAutospacing="1" w:line="276" w:lineRule="exact"/>
        <w:ind w:firstLine="720"/>
        <w:jc w:val="both"/>
        <w:textAlignment w:val="baseline"/>
        <w:rPr>
          <w:rFonts w:ascii="Arial" w:hAnsi="Arial"/>
          <w:sz w:val="22"/>
          <w:szCs w:val="22"/>
        </w:rPr>
      </w:pPr>
      <w:r w:rsidRPr="00F85CBE">
        <w:rPr>
          <w:rFonts w:ascii="Arial" w:hAnsi="Arial"/>
          <w:sz w:val="22"/>
          <w:szCs w:val="22"/>
          <w:vertAlign w:val="superscript"/>
        </w:rPr>
        <w:t>7</w:t>
      </w:r>
      <w:r w:rsidRPr="00F85CBE">
        <w:rPr>
          <w:rFonts w:ascii="Arial" w:hAnsi="Arial"/>
          <w:i/>
          <w:sz w:val="22"/>
          <w:szCs w:val="22"/>
        </w:rPr>
        <w:t xml:space="preserve"> See </w:t>
      </w:r>
      <w:r w:rsidRPr="00F85CBE">
        <w:rPr>
          <w:rFonts w:ascii="Arial" w:hAnsi="Arial"/>
          <w:sz w:val="22"/>
          <w:szCs w:val="22"/>
        </w:rPr>
        <w:t>Penal Law article 400.</w:t>
      </w:r>
    </w:p>
    <w:p w14:paraId="3CAF7966" w14:textId="77777777" w:rsidR="00C36062" w:rsidRPr="00F85CBE" w:rsidRDefault="00C36062" w:rsidP="009B5DF7">
      <w:pPr>
        <w:kinsoku w:val="0"/>
        <w:overflowPunct w:val="0"/>
        <w:autoSpaceDE/>
        <w:autoSpaceDN/>
        <w:adjustRightInd/>
        <w:spacing w:before="100" w:beforeAutospacing="1" w:line="276" w:lineRule="exact"/>
        <w:ind w:left="720"/>
        <w:textAlignment w:val="baseline"/>
        <w:rPr>
          <w:rFonts w:ascii="Arial" w:hAnsi="Arial"/>
          <w:sz w:val="22"/>
          <w:szCs w:val="22"/>
        </w:rPr>
      </w:pPr>
      <w:r w:rsidRPr="00F85CBE">
        <w:rPr>
          <w:rFonts w:ascii="Arial" w:hAnsi="Arial"/>
          <w:sz w:val="22"/>
          <w:szCs w:val="22"/>
          <w:vertAlign w:val="superscript"/>
        </w:rPr>
        <w:t>8</w:t>
      </w:r>
      <w:r w:rsidRPr="00F85CBE">
        <w:rPr>
          <w:rFonts w:ascii="Arial" w:hAnsi="Arial"/>
          <w:sz w:val="22"/>
          <w:szCs w:val="22"/>
        </w:rPr>
        <w:t xml:space="preserve"> Penal Law § 265.00 (6)</w:t>
      </w:r>
    </w:p>
    <w:p w14:paraId="32D1102E" w14:textId="77777777" w:rsidR="00C36062" w:rsidRDefault="00C36062">
      <w:pPr>
        <w:widowControl/>
        <w:rPr>
          <w:sz w:val="24"/>
        </w:rPr>
        <w:sectPr w:rsidR="00C36062">
          <w:footerReference w:type="default" r:id="rId8"/>
          <w:pgSz w:w="12240" w:h="15840"/>
          <w:pgMar w:top="1080" w:right="2143" w:bottom="1259" w:left="2157" w:header="720" w:footer="1478" w:gutter="0"/>
          <w:cols w:space="720"/>
          <w:noEndnote/>
        </w:sectPr>
      </w:pPr>
    </w:p>
    <w:p w14:paraId="196676A7" w14:textId="77777777" w:rsidR="00C36062" w:rsidRDefault="00C3606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4" w:lineRule="exact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lastRenderedPageBreak/>
        <w:t xml:space="preserve">That on or about </w:t>
      </w:r>
      <w:r>
        <w:rPr>
          <w:rFonts w:ascii="Arial" w:hAnsi="Arial"/>
          <w:i/>
          <w:spacing w:val="-4"/>
          <w:sz w:val="23"/>
          <w:u w:val="single"/>
        </w:rPr>
        <w:t xml:space="preserve"> (</w:t>
      </w:r>
      <w:r>
        <w:rPr>
          <w:rFonts w:ascii="Arial" w:hAnsi="Arial"/>
          <w:i/>
          <w:spacing w:val="-4"/>
          <w:sz w:val="28"/>
          <w:u w:val="single"/>
        </w:rPr>
        <w:t>date</w:t>
      </w:r>
      <w:r>
        <w:rPr>
          <w:rFonts w:ascii="Arial" w:hAnsi="Arial"/>
          <w:i/>
          <w:spacing w:val="-4"/>
          <w:sz w:val="23"/>
          <w:u w:val="single"/>
        </w:rPr>
        <w:t xml:space="preserve">) </w:t>
      </w:r>
      <w:r>
        <w:rPr>
          <w:rFonts w:ascii="Arial" w:hAnsi="Arial"/>
          <w:spacing w:val="-4"/>
          <w:sz w:val="28"/>
        </w:rPr>
        <w:t xml:space="preserve"> , in the county of </w:t>
      </w:r>
      <w:r>
        <w:rPr>
          <w:rFonts w:ascii="Arial" w:hAnsi="Arial"/>
          <w:i/>
          <w:spacing w:val="-4"/>
          <w:sz w:val="23"/>
          <w:u w:val="single"/>
        </w:rPr>
        <w:t xml:space="preserve"> (</w:t>
      </w:r>
      <w:r>
        <w:rPr>
          <w:rFonts w:ascii="Arial" w:hAnsi="Arial"/>
          <w:i/>
          <w:spacing w:val="-4"/>
          <w:sz w:val="28"/>
          <w:u w:val="single"/>
        </w:rPr>
        <w:t>County</w:t>
      </w:r>
      <w:r>
        <w:rPr>
          <w:rFonts w:ascii="Arial" w:hAnsi="Arial"/>
          <w:i/>
          <w:spacing w:val="-4"/>
          <w:sz w:val="23"/>
          <w:u w:val="single"/>
        </w:rPr>
        <w:t xml:space="preserve">) </w:t>
      </w:r>
      <w:r>
        <w:rPr>
          <w:rFonts w:ascii="Arial" w:hAnsi="Arial"/>
          <w:spacing w:val="-4"/>
          <w:sz w:val="28"/>
        </w:rPr>
        <w:t xml:space="preserve"> , the defendant, </w:t>
      </w:r>
      <w:r>
        <w:rPr>
          <w:rFonts w:ascii="Arial" w:hAnsi="Arial"/>
          <w:i/>
          <w:spacing w:val="-4"/>
          <w:sz w:val="23"/>
          <w:u w:val="single"/>
        </w:rPr>
        <w:t xml:space="preserve"> (</w:t>
      </w:r>
      <w:r>
        <w:rPr>
          <w:rFonts w:ascii="Arial" w:hAnsi="Arial"/>
          <w:i/>
          <w:spacing w:val="-4"/>
          <w:sz w:val="28"/>
          <w:u w:val="single"/>
        </w:rPr>
        <w:t>defendant's name</w:t>
      </w:r>
      <w:r>
        <w:rPr>
          <w:rFonts w:ascii="Arial" w:hAnsi="Arial"/>
          <w:i/>
          <w:spacing w:val="-4"/>
          <w:sz w:val="23"/>
          <w:u w:val="single"/>
        </w:rPr>
        <w:t>)</w:t>
      </w:r>
      <w:r>
        <w:rPr>
          <w:rFonts w:ascii="Arial" w:hAnsi="Arial"/>
          <w:spacing w:val="-4"/>
          <w:sz w:val="28"/>
        </w:rPr>
        <w:t>, sold, exchanged, gave, or disposed of five or more firearms to another; and</w:t>
      </w:r>
    </w:p>
    <w:p w14:paraId="0AE29227" w14:textId="77777777" w:rsidR="00C36062" w:rsidRDefault="00C3606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2" w:line="326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the defendant did so knowingly and unlawfully; and</w:t>
      </w:r>
    </w:p>
    <w:p w14:paraId="310D9F76" w14:textId="77777777" w:rsidR="00C36062" w:rsidRDefault="00C3606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16" w:line="327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[each] [at least five] of the firearms (was/were) operable.</w:t>
      </w:r>
    </w:p>
    <w:p w14:paraId="72AB3BAB" w14:textId="77777777" w:rsidR="00C36062" w:rsidRDefault="00C36062">
      <w:pPr>
        <w:kinsoku w:val="0"/>
        <w:overflowPunct w:val="0"/>
        <w:autoSpaceDE/>
        <w:autoSpaceDN/>
        <w:adjustRightInd/>
        <w:spacing w:before="324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proven beyond a reasonable doubt each of those elements, you must find the defendant guilty of this crime.</w:t>
      </w:r>
    </w:p>
    <w:p w14:paraId="2E1D0C1A" w14:textId="77777777" w:rsidR="00C36062" w:rsidRDefault="00C36062">
      <w:pPr>
        <w:kinsoku w:val="0"/>
        <w:overflowPunct w:val="0"/>
        <w:autoSpaceDE/>
        <w:autoSpaceDN/>
        <w:adjustRightInd/>
        <w:spacing w:before="324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not proven beyond a reasonable doubt any one or more of those elements, you must find the defendant not guilty of this crime.</w:t>
      </w:r>
    </w:p>
    <w:sectPr w:rsidR="00C36062" w:rsidSect="00C36062">
      <w:pgSz w:w="12240" w:h="15840"/>
      <w:pgMar w:top="1080" w:right="2145" w:bottom="1268" w:left="2155" w:header="720" w:footer="14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F0A7" w14:textId="77777777" w:rsidR="00A42213" w:rsidRDefault="00A42213" w:rsidP="00C36062">
      <w:r>
        <w:separator/>
      </w:r>
    </w:p>
  </w:endnote>
  <w:endnote w:type="continuationSeparator" w:id="0">
    <w:p w14:paraId="1793F26D" w14:textId="77777777" w:rsidR="00A42213" w:rsidRDefault="00A42213" w:rsidP="00C3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9AB5" w14:textId="77777777" w:rsidR="00C36062" w:rsidRDefault="00C36062">
    <w:pPr>
      <w:keepNext/>
      <w:keepLines/>
      <w:tabs>
        <w:tab w:val="left" w:pos="3838"/>
      </w:tabs>
      <w:kinsoku w:val="0"/>
      <w:overflowPunct w:val="0"/>
      <w:autoSpaceDE/>
      <w:autoSpaceDN/>
      <w:adjustRightInd/>
      <w:spacing w:line="229" w:lineRule="exact"/>
      <w:textAlignment w:val="baseline"/>
      <w:rPr>
        <w:rFonts w:ascii="Arial" w:hAnsi="Arial"/>
      </w:rPr>
    </w:pPr>
    <w:r>
      <w:rPr>
        <w:sz w:val="24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3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0B04" w14:textId="77777777" w:rsidR="00A42213" w:rsidRDefault="00A42213" w:rsidP="00C36062">
      <w:r>
        <w:separator/>
      </w:r>
    </w:p>
  </w:footnote>
  <w:footnote w:type="continuationSeparator" w:id="0">
    <w:p w14:paraId="50CF060E" w14:textId="77777777" w:rsidR="00A42213" w:rsidRDefault="00A42213" w:rsidP="00C3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8F2B"/>
    <w:multiLevelType w:val="singleLevel"/>
    <w:tmpl w:val="26A60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napToGrid/>
        <w:spacing w:val="-4"/>
        <w:sz w:val="28"/>
      </w:rPr>
    </w:lvl>
  </w:abstractNum>
  <w:num w:numId="1" w16cid:durableId="111826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62"/>
    <w:rsid w:val="00176E50"/>
    <w:rsid w:val="002161E5"/>
    <w:rsid w:val="00493D94"/>
    <w:rsid w:val="004B251A"/>
    <w:rsid w:val="005B771B"/>
    <w:rsid w:val="007E25F5"/>
    <w:rsid w:val="008A4D5D"/>
    <w:rsid w:val="008A7819"/>
    <w:rsid w:val="008C40DC"/>
    <w:rsid w:val="009B5DF7"/>
    <w:rsid w:val="009D16C4"/>
    <w:rsid w:val="00A34FC8"/>
    <w:rsid w:val="00A42213"/>
    <w:rsid w:val="00B56B68"/>
    <w:rsid w:val="00C36062"/>
    <w:rsid w:val="00D97B1D"/>
    <w:rsid w:val="00DA1049"/>
    <w:rsid w:val="00F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29B28"/>
  <w14:defaultImageDpi w14:val="0"/>
  <w15:docId w15:val="{87857371-24D3-4FEE-861F-BA8D4917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1E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16C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6C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1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D420-564D-45A1-A075-7D3F440D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785</Words>
  <Characters>3632</Characters>
  <Application>Microsoft Office Word</Application>
  <DocSecurity>0</DocSecurity>
  <Lines>125</Lines>
  <Paragraphs>49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14</cp:revision>
  <dcterms:created xsi:type="dcterms:W3CDTF">2021-05-18T18:19:00Z</dcterms:created>
  <dcterms:modified xsi:type="dcterms:W3CDTF">2022-12-07T22:25:00Z</dcterms:modified>
</cp:coreProperties>
</file>