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SOLICITING OR PROVIDING SUPPORT FOR AN ACT OF</w:t>
        <w:br/>
      </w:r>
      <w:r>
        <w:rPr>
          <w:rFonts w:ascii="Arial" w:hAnsi="Arial" w:eastAsia="Arial"/>
          <w:b w:val="true"/>
          <w:strike w:val="false"/>
          <w:color w:val="000000"/>
          <w:spacing w:val="0"/>
          <w:w w:val="100"/>
          <w:sz w:val="28"/>
          <w:vertAlign w:val="baseline"/>
          <w:lang w:val="en-US"/>
        </w:rPr>
        <w:t xml:space="preserve">TERRORISM IN THE SECOND DEGREE</w:t>
        <w:br/>
      </w:r>
      <w:r>
        <w:rPr>
          <w:rFonts w:ascii="Arial" w:hAnsi="Arial" w:eastAsia="Arial"/>
          <w:b w:val="true"/>
          <w:strike w:val="false"/>
          <w:color w:val="000000"/>
          <w:spacing w:val="0"/>
          <w:w w:val="100"/>
          <w:sz w:val="28"/>
          <w:vertAlign w:val="baseline"/>
          <w:lang w:val="en-US"/>
        </w:rPr>
        <w:t xml:space="preserve">Penal Law § 490.10</w:t>
        <w:br/>
      </w:r>
      <w:r>
        <w:rPr>
          <w:rFonts w:ascii="Arial" w:hAnsi="Arial" w:eastAsia="Arial"/>
          <w:b w:val="true"/>
          <w:strike w:val="false"/>
          <w:color w:val="000000"/>
          <w:spacing w:val="0"/>
          <w:w w:val="100"/>
          <w:sz w:val="28"/>
          <w:vertAlign w:val="baseline"/>
          <w:lang w:val="en-US"/>
        </w:rPr>
        <w:t xml:space="preserve">(Committed on or after September 17, 2001)</w:t>
      </w:r>
    </w:p>
    <w:p>
      <w:pPr>
        <w:pageBreakBefore w:val="false"/>
        <w:spacing w:before="65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Soliciting or Providing Support for an Act of Terrorism in the Second Degree.</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commits Soliciting or Providing Support for an Act of Terrorism in the Second Degree when, with intent that material support or resources will be used, in whole or in part, to plan, prepare, carry out, or aid, in either an act of terrorism, or the concealment of, or an escape from, an act of terrorism, he or she raises, solicits, collects, or provides material support or resources.</w:t>
      </w:r>
    </w:p>
    <w:p>
      <w:pPr>
        <w:pageBreakBefore w:val="false"/>
        <w:spacing w:before="331"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40" w:after="0" w:line="31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An ACT OF TERRORISM means an act or acts constituting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 the offense </w:t>
      </w:r>
      <w:r>
        <w:rPr>
          <w:rFonts w:ascii="Arial" w:hAnsi="Arial" w:eastAsia="Arial"/>
          <w:strike w:val="false"/>
          <w:color w:val="000000"/>
          <w:spacing w:val="-3"/>
          <w:w w:val="100"/>
          <w:sz w:val="28"/>
          <w:vertAlign w:val="superscript"/>
          <w:lang w:val="en-US"/>
        </w:rPr>
        <w:t xml:space="preserve"> 1</w:t>
      </w:r>
      <w:r>
        <w:rPr>
          <w:rFonts w:ascii="Arial" w:hAnsi="Arial" w:eastAsia="Arial"/>
          <w:strike w:val="false"/>
          <w:color w:val="000000"/>
          <w:spacing w:val="-3"/>
          <w:w w:val="100"/>
          <w:sz w:val="28"/>
          <w:vertAlign w:val="baseline"/>
          <w:lang w:val="en-US"/>
        </w:rPr>
        <w:t xml:space="preserve"> ) </w:t>
      </w:r>
      <w:r>
        <w:rPr>
          <w:rFonts w:ascii="Arial" w:hAnsi="Arial" w:eastAsia="Arial"/>
          <w:strike w:val="false"/>
          <w:color w:val="000000"/>
          <w:spacing w:val="-3"/>
          <w:w w:val="100"/>
          <w:sz w:val="28"/>
          <w:vertAlign w:val="superscript"/>
          <w:lang w:val="en-US"/>
        </w:rPr>
        <w:t xml:space="preserve">2</w:t>
      </w:r>
      <w:r>
        <w:rPr>
          <w:rFonts w:ascii="Arial" w:hAnsi="Arial" w:eastAsia="Arial"/>
          <w:strike w:val="false"/>
          <w:color w:val="000000"/>
          <w:spacing w:val="-3"/>
          <w:w w:val="100"/>
          <w:sz w:val="28"/>
          <w:vertAlign w:val="baseline"/>
          <w:lang w:val="en-US"/>
        </w:rPr>
        <w:t xml:space="preserve"> that is intended to:</w:t>
      </w:r>
    </w:p>
    <w:p>
      <w:pPr>
        <w:pageBreakBefore w:val="false"/>
        <w:tabs>
          <w:tab w:val="left" w:leader="none" w:pos="1440"/>
        </w:tabs>
        <w:spacing w:before="337" w:after="0" w:line="317"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	</w:t>
      </w:r>
      <w:r>
        <w:rPr>
          <w:rFonts w:ascii="Arial" w:hAnsi="Arial" w:eastAsia="Arial"/>
          <w:strike w:val="false"/>
          <w:color w:val="000000"/>
          <w:spacing w:val="0"/>
          <w:w w:val="100"/>
          <w:sz w:val="28"/>
          <w:vertAlign w:val="baseline"/>
          <w:lang w:val="en-US"/>
        </w:rPr>
        <w:t xml:space="preserve">intimidate or coerce a civilian population;</w:t>
      </w:r>
    </w:p>
    <w:p>
      <w:pPr>
        <w:pageBreakBefore w:val="false"/>
        <w:spacing w:before="316" w:after="356" w:line="327"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(ii) influence the policy of a unit of government by intimidation or coercion; or</w:t>
      </w:r>
    </w:p>
    <w:p>
      <w:pPr>
        <w:pageBreakBefore w:val="false"/>
        <w:spacing w:before="263" w:after="0" w:line="275" w:lineRule="exact"/>
        <w:ind w:right="72" w:left="0" w:firstLine="720"/>
        <w:jc w:val="left"/>
        <w:textAlignment w:val="baseline"/>
        <w:rPr>
          <w:rFonts w:ascii="Arial" w:hAnsi="Arial" w:eastAsia="Arial"/>
          <w:strike w:val="false"/>
          <w:color w:val="000000"/>
          <w:spacing w:val="-1"/>
          <w:w w:val="100"/>
          <w:sz w:val="14"/>
          <w:vertAlign w:val="superscript"/>
          <w:lang w:val="en-US"/>
        </w:rPr>
      </w:pPr>
      <w:r>
        <w:pict>
          <v:line strokeweight="1.2pt" strokecolor="#000000" from="107.75pt,530.15pt" to="252.05pt,530.15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Here, insert appropriate Class A felony offense (other than an offense defined in Penal Law article 220), violent felony offense, manslaughter in the second degree, criminal tampering in the first degree, or an attempt or conspiracy to commit same. </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490.05(3).</w:t>
      </w:r>
    </w:p>
    <w:p>
      <w:pPr>
        <w:pageBreakBefore w:val="false"/>
        <w:spacing w:before="251" w:after="0" w:line="275" w:lineRule="exact"/>
        <w:ind w:right="72"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At this point, the statutory definition of “Act of terrorism” [Penal Law §490.05(1)] states: “[a specified offense] for which a person may be convicted in the criminal courts of this state pursuant to article twenty of the criminal procedure law, or an act or acts constituting an offense in any other jurisdiction within or outside the territorial boundaries of the united states which contains all of the essential elements of a specified offense.” This portion of the statutory definition is excised at this point but included at the end of the definition.</w:t>
      </w:r>
    </w:p>
    <w:p>
      <w:pPr>
        <w:sectPr>
          <w:type w:val="nextPage"/>
          <w:pgSz w:w="12240" w:h="15840" w:orient="portrait"/>
          <w:pgMar w:bottom="1024" w:top="1440" w:right="2125" w:left="2155" w:header="720" w:footer="0"/>
          <w:titlePg w:val="false"/>
          <w:textDirection w:val="lrTb"/>
        </w:sectPr>
      </w:pPr>
    </w:p>
    <w:p>
      <w:pPr>
        <w:pageBreakBefore w:val="false"/>
        <w:spacing w:before="4" w:after="0" w:line="322" w:lineRule="exact"/>
        <w:ind w:right="0" w:left="720" w:firstLine="0"/>
        <w:jc w:val="both"/>
        <w:textAlignment w:val="baseline"/>
        <w:rPr>
          <w:rFonts w:ascii="Arial" w:hAnsi="Arial" w:eastAsia="Arial"/>
          <w:strike w:val="false"/>
          <w:color w:val="000000"/>
          <w:spacing w:val="0"/>
          <w:w w:val="100"/>
          <w:sz w:val="28"/>
          <w:vertAlign w:val="baseline"/>
          <w:lang w:val="en-US"/>
        </w:rPr>
      </w:pPr>
      <w:r>
        <w:pict>
          <v:line strokeweight="0.95pt" strokecolor="#000000" from="107.5pt,628.3pt" to="252.05pt,628.3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(iii) affect the conduct of a unit of government by murder, assassination or kidnapping. </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2" w:after="0" w:line="321"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Select appropriate alternative</w:t>
      </w:r>
      <w:r>
        <w:rPr>
          <w:rFonts w:ascii="Arial" w:hAnsi="Arial" w:eastAsia="Arial"/>
          <w:strike w:val="false"/>
          <w:color w:val="000000"/>
          <w:spacing w:val="0"/>
          <w:w w:val="100"/>
          <w:sz w:val="28"/>
          <w:vertAlign w:val="baseline"/>
          <w:lang w:val="en-US"/>
        </w:rPr>
        <w:t xml:space="preserve">:</w:t>
      </w:r>
    </w:p>
    <w:p>
      <w:pPr>
        <w:pageBreakBefore w:val="false"/>
        <w:spacing w:before="330" w:after="0" w:line="318"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w:t>
      </w:r>
    </w:p>
    <w:p>
      <w:pPr>
        <w:pageBreakBefore w:val="false"/>
        <w:spacing w:before="330" w:after="0" w:line="31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act or acts must constitute an offense for which the actor can be convicted in the criminal courts of this state.</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3" w:after="0" w:line="321" w:lineRule="exact"/>
        <w:ind w:right="0" w:left="720" w:hanging="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there is an issue as to whether a person may be convicted in the criminal courts of this state for the alleged specified offense, the Court must charge the applicable provision of CPL article 20. If there is no such issue, the Court may charge as follows:</w:t>
      </w:r>
    </w:p>
    <w:p>
      <w:pPr>
        <w:pageBreakBefore w:val="false"/>
        <w:spacing w:before="32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with certain exceptions not applicable here, a person may be convicted in the criminal courts of this state for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21" w:after="0" w:line="318" w:lineRule="exact"/>
        <w:ind w:right="0" w:left="0" w:firstLine="0"/>
        <w:jc w:val="center"/>
        <w:textAlignment w:val="baseline"/>
        <w:rPr>
          <w:rFonts w:ascii="Arial" w:hAnsi="Arial" w:eastAsia="Arial"/>
          <w:strike w:val="false"/>
          <w:color w:val="000000"/>
          <w:spacing w:val="23"/>
          <w:w w:val="100"/>
          <w:sz w:val="28"/>
          <w:vertAlign w:val="baseline"/>
          <w:lang w:val="en-US"/>
        </w:rPr>
      </w:pPr>
      <w:r>
        <w:rPr>
          <w:rFonts w:ascii="Arial" w:hAnsi="Arial" w:eastAsia="Arial"/>
          <w:strike w:val="false"/>
          <w:color w:val="000000"/>
          <w:spacing w:val="23"/>
          <w:w w:val="100"/>
          <w:sz w:val="28"/>
          <w:vertAlign w:val="baseline"/>
          <w:lang w:val="en-US"/>
        </w:rPr>
        <w:t xml:space="preserve">II</w:t>
      </w:r>
    </w:p>
    <w:p>
      <w:pPr>
        <w:pageBreakBefore w:val="false"/>
        <w:spacing w:before="33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act or acts must constitute </w:t>
      </w:r>
      <w:r>
        <w:rPr>
          <w:rFonts w:ascii="Arial" w:hAnsi="Arial" w:eastAsia="Arial"/>
          <w:i w:val="true"/>
          <w:strike w:val="false"/>
          <w:color w:val="000000"/>
          <w:spacing w:val="0"/>
          <w:w w:val="100"/>
          <w:sz w:val="28"/>
          <w:u w:val="single"/>
          <w:vertAlign w:val="baseline"/>
          <w:lang w:val="en-US"/>
        </w:rPr>
        <w:t xml:space="preserve">(specify the offense)</w:t>
      </w:r>
      <w:r>
        <w:rPr>
          <w:rFonts w:ascii="Arial" w:hAnsi="Arial" w:eastAsia="Arial"/>
          <w:strike w:val="false"/>
          <w:color w:val="000000"/>
          <w:spacing w:val="0"/>
          <w:w w:val="100"/>
          <w:sz w:val="28"/>
          <w:vertAlign w:val="baseline"/>
          <w:lang w:val="en-US"/>
        </w:rPr>
        <w:t xml:space="preserve"> in </w:t>
      </w:r>
      <w:r>
        <w:rPr>
          <w:rFonts w:ascii="Arial" w:hAnsi="Arial" w:eastAsia="Arial"/>
          <w:i w:val="true"/>
          <w:strike w:val="false"/>
          <w:color w:val="000000"/>
          <w:spacing w:val="0"/>
          <w:w w:val="100"/>
          <w:sz w:val="28"/>
          <w:u w:val="single"/>
          <w:vertAlign w:val="baseline"/>
          <w:lang w:val="en-US"/>
        </w:rPr>
        <w:t xml:space="preserve">(specify the jurisdiction in which the offense was allegedly committed)</w:t>
      </w:r>
      <w:r>
        <w:rPr>
          <w:rFonts w:ascii="Arial" w:hAnsi="Arial" w:eastAsia="Arial"/>
          <w:strike w:val="false"/>
          <w:color w:val="000000"/>
          <w:spacing w:val="0"/>
          <w:w w:val="100"/>
          <w:sz w:val="28"/>
          <w:vertAlign w:val="baseline"/>
          <w:lang w:val="en-US"/>
        </w:rPr>
        <w:t xml:space="preserve"> and must contain all of the essential elements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as defined by the law of New York.</w:t>
      </w:r>
    </w:p>
    <w:p>
      <w:pPr>
        <w:pageBreakBefore w:val="false"/>
        <w:spacing w:before="331" w:after="753" w:line="321" w:lineRule="exact"/>
        <w:ind w:right="0" w:left="720" w:hanging="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there is an issue as to whether the acts constitute an offense in the subject jurisdiction and contain all the essential elements of the specified offense, then the Court must define the elements of both offenses. If there is no such issue, the Court may charge as follows:</w:t>
      </w:r>
    </w:p>
    <w:p>
      <w:pPr>
        <w:pageBreakBefore w:val="false"/>
        <w:spacing w:before="256" w:after="0" w:line="274"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§490.05(1).</w:t>
      </w:r>
    </w:p>
    <w:p>
      <w:pPr>
        <w:pageBreakBefore w:val="false"/>
        <w:spacing w:before="238" w:after="0" w:line="280" w:lineRule="exact"/>
        <w:ind w:right="576"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At this point the statutory definition adds: “pursuant to article twenty of the criminal procedure law.”</w:t>
      </w:r>
    </w:p>
    <w:p>
      <w:pPr>
        <w:sectPr>
          <w:footerReference w:type="default" r:id="fId0"/>
          <w:type w:val="nextPage"/>
          <w:pgSz w:w="12240" w:h="15840" w:orient="portrait"/>
          <w:pgMar w:bottom="1313" w:top="1440" w:right="2130" w:left="2150" w:header="720" w:footer="1493"/>
          <w:titlePg w:val="false"/>
          <w:textDirection w:val="lrTb"/>
        </w:sectPr>
      </w:pPr>
    </w:p>
    <w:p>
      <w:pPr>
        <w:pageBreakBefore w:val="false"/>
        <w:spacing w:before="6"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The act or acts alleged here constitute an offense in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 subject jurisdiction</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and contain all the essential elements of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 the offense</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as defined by the law of New York.] </w:t>
      </w:r>
      <w:r>
        <w:rPr>
          <w:rFonts w:ascii="Arial" w:hAnsi="Arial" w:eastAsia="Arial"/>
          <w:strike w:val="false"/>
          <w:color w:val="000000"/>
          <w:spacing w:val="-4"/>
          <w:w w:val="100"/>
          <w:sz w:val="28"/>
          <w:vertAlign w:val="superscript"/>
          <w:lang w:val="en-US"/>
        </w:rPr>
        <w:t xml:space="preserve">5</w:t>
      </w:r>
      <w:r>
        <w:rPr>
          <w:rFonts w:ascii="Arial" w:hAnsi="Arial" w:eastAsia="Arial"/>
          <w:strike w:val="false"/>
          <w:color w:val="000000"/>
          <w:spacing w:val="-4"/>
          <w:w w:val="100"/>
          <w:sz w:val="17"/>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commits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and define the specified offense</w:t>
      </w:r>
      <w:r>
        <w:rPr>
          <w:rFonts w:ascii="Arial" w:hAnsi="Arial" w:eastAsia="Arial"/>
          <w:strike w:val="false"/>
          <w:color w:val="000000"/>
          <w:spacing w:val="0"/>
          <w:w w:val="100"/>
          <w:sz w:val="28"/>
          <w:u w:val="single"/>
          <w:vertAlign w:val="baseline"/>
          <w:lang w:val="en-US"/>
        </w:rPr>
        <w:t xml:space="preserve">).</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MATERIAL SUPPORT OR RESOURCES means currency or other financial securities, financial services, lodging, training, safe houses, false documentation or identification, communications equipment, facilities, weapons, lethal substances, explosives, personnel, transportation, and other physical assets, except medicine or religious materials.</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1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that material support or resources will be used, in whole or in part, to plan, prepare, carry out, or aid in either an act of terrorism or concealment of, or an escape from, an act of terrorism, when his or her conscious objective or purpose is that such material support or resources will be used for that purpose.</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27"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raised, solicited, collected or provided material support or resources; and</w:t>
      </w:r>
    </w:p>
    <w:p>
      <w:pPr>
        <w:pageBreakBefore w:val="false"/>
        <w:numPr>
          <w:ilvl w:val="0"/>
          <w:numId w:val="1"/>
        </w:numPr>
        <w:tabs>
          <w:tab w:val="clear" w:pos="720"/>
          <w:tab w:val="left" w:pos="1440"/>
        </w:tabs>
        <w:spacing w:before="324" w:after="488" w:line="324" w:lineRule="exact"/>
        <w:ind w:right="0" w:left="1440" w:hanging="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the defendant did so with the intent that such</w:t>
      </w:r>
    </w:p>
    <w:p>
      <w:pPr>
        <w:pageBreakBefore w:val="false"/>
        <w:spacing w:before="14" w:after="0" w:line="518"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7.35pt,616.1pt" to="252.05pt,616.1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§490.05(1).</w:t>
        <w:br/>
      </w: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§490.05(2).</w:t>
        <w:br/>
      </w:r>
      <w:r>
        <w:rPr>
          <w:rFonts w:ascii="Arial" w:hAnsi="Arial" w:eastAsia="Arial"/>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§15.05(1).</w:t>
      </w:r>
    </w:p>
    <w:p>
      <w:pPr>
        <w:sectPr>
          <w:type w:val="nextPage"/>
          <w:pgSz w:w="12240" w:h="15840" w:orient="portrait"/>
          <w:pgMar w:bottom="1307" w:top="1440" w:right="2133" w:left="2147" w:header="720" w:footer="1488"/>
          <w:titlePg w:val="false"/>
          <w:textDirection w:val="lrTb"/>
        </w:sectPr>
      </w:pPr>
    </w:p>
    <w:p>
      <w:pPr>
        <w:pageBreakBefore w:val="false"/>
        <w:spacing w:before="0"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material support or resources be used, in whole or in part, to plan, prepare, carry out, or aid, in either an act of terrorism, or the concealment of, or an escape from, an act of terrorism.</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1316" w:top="1440" w:right="2135" w:left="2145"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6"/>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