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AA967" w14:textId="1115B54B" w:rsidR="005D7C9E" w:rsidRPr="00616F85" w:rsidRDefault="007E5915" w:rsidP="00BE6FA6">
      <w:pPr>
        <w:spacing w:after="0" w:line="240" w:lineRule="auto"/>
        <w:jc w:val="center"/>
        <w:rPr>
          <w:rFonts w:ascii="Times New Roman" w:hAnsi="Times New Roman" w:cs="Times New Roman"/>
          <w:b/>
          <w:bCs/>
          <w:sz w:val="28"/>
          <w:szCs w:val="28"/>
        </w:rPr>
      </w:pPr>
      <w:r w:rsidRPr="00616F85">
        <w:rPr>
          <w:rFonts w:ascii="Times New Roman" w:hAnsi="Times New Roman" w:cs="Times New Roman"/>
          <w:b/>
          <w:bCs/>
          <w:sz w:val="28"/>
          <w:szCs w:val="28"/>
        </w:rPr>
        <w:t>MODEL COLL</w:t>
      </w:r>
      <w:r w:rsidR="00601703" w:rsidRPr="00616F85">
        <w:rPr>
          <w:rFonts w:ascii="Times New Roman" w:hAnsi="Times New Roman" w:cs="Times New Roman"/>
          <w:b/>
          <w:bCs/>
          <w:sz w:val="28"/>
          <w:szCs w:val="28"/>
        </w:rPr>
        <w:t>O</w:t>
      </w:r>
      <w:r w:rsidRPr="00616F85">
        <w:rPr>
          <w:rFonts w:ascii="Times New Roman" w:hAnsi="Times New Roman" w:cs="Times New Roman"/>
          <w:b/>
          <w:bCs/>
          <w:sz w:val="28"/>
          <w:szCs w:val="28"/>
        </w:rPr>
        <w:t>QUY ON ANNOUNCEMENT OF READINESS</w:t>
      </w:r>
      <w:r w:rsidR="00851D53" w:rsidRPr="00616F85">
        <w:rPr>
          <w:rFonts w:ascii="Times New Roman" w:hAnsi="Times New Roman" w:cs="Times New Roman"/>
          <w:b/>
          <w:bCs/>
          <w:sz w:val="28"/>
          <w:szCs w:val="28"/>
        </w:rPr>
        <w:t xml:space="preserve"> </w:t>
      </w:r>
    </w:p>
    <w:p w14:paraId="2511A586" w14:textId="2AAEA1C8" w:rsidR="00BA59F8" w:rsidRPr="00616F85" w:rsidRDefault="00BA59F8" w:rsidP="00BE6FA6">
      <w:pPr>
        <w:spacing w:after="0" w:line="240" w:lineRule="auto"/>
        <w:jc w:val="center"/>
        <w:rPr>
          <w:rFonts w:ascii="Times New Roman" w:hAnsi="Times New Roman" w:cs="Times New Roman"/>
          <w:sz w:val="24"/>
          <w:szCs w:val="24"/>
        </w:rPr>
      </w:pPr>
      <w:r w:rsidRPr="00616F85">
        <w:rPr>
          <w:rFonts w:ascii="Times New Roman" w:hAnsi="Times New Roman" w:cs="Times New Roman"/>
          <w:sz w:val="24"/>
          <w:szCs w:val="24"/>
        </w:rPr>
        <w:t>(Revised</w:t>
      </w:r>
      <w:r w:rsidR="00556C77" w:rsidRPr="00616F85">
        <w:rPr>
          <w:rFonts w:ascii="Times New Roman" w:hAnsi="Times New Roman" w:cs="Times New Roman"/>
          <w:sz w:val="24"/>
          <w:szCs w:val="24"/>
        </w:rPr>
        <w:t xml:space="preserve">, </w:t>
      </w:r>
      <w:r w:rsidR="00644BFF">
        <w:rPr>
          <w:rFonts w:ascii="Times New Roman" w:hAnsi="Times New Roman" w:cs="Times New Roman"/>
          <w:sz w:val="24"/>
          <w:szCs w:val="24"/>
        </w:rPr>
        <w:t>effective</w:t>
      </w:r>
      <w:r w:rsidR="00556C77" w:rsidRPr="00616F85">
        <w:rPr>
          <w:rFonts w:ascii="Times New Roman" w:hAnsi="Times New Roman" w:cs="Times New Roman"/>
          <w:sz w:val="24"/>
          <w:szCs w:val="24"/>
        </w:rPr>
        <w:t xml:space="preserve"> </w:t>
      </w:r>
      <w:r w:rsidR="00644BFF">
        <w:rPr>
          <w:rFonts w:ascii="Times New Roman" w:hAnsi="Times New Roman" w:cs="Times New Roman"/>
          <w:sz w:val="24"/>
          <w:szCs w:val="24"/>
        </w:rPr>
        <w:t>May 3,</w:t>
      </w:r>
      <w:r w:rsidR="00556C77" w:rsidRPr="00616F85">
        <w:rPr>
          <w:rFonts w:ascii="Times New Roman" w:hAnsi="Times New Roman" w:cs="Times New Roman"/>
          <w:sz w:val="24"/>
          <w:szCs w:val="24"/>
        </w:rPr>
        <w:t>, 2020)</w:t>
      </w:r>
      <w:r w:rsidR="00323477" w:rsidRPr="00616F85">
        <w:rPr>
          <w:rStyle w:val="EndnoteReference"/>
          <w:rFonts w:ascii="Times New Roman" w:hAnsi="Times New Roman" w:cs="Times New Roman"/>
          <w:sz w:val="24"/>
          <w:szCs w:val="24"/>
        </w:rPr>
        <w:endnoteReference w:id="1"/>
      </w:r>
    </w:p>
    <w:p w14:paraId="6320A547" w14:textId="046AE667" w:rsidR="005D7C9E" w:rsidRPr="00616F85" w:rsidRDefault="005D7C9E" w:rsidP="00BE6FA6">
      <w:pPr>
        <w:spacing w:after="0" w:line="240" w:lineRule="auto"/>
        <w:jc w:val="center"/>
        <w:rPr>
          <w:rFonts w:ascii="Times New Roman" w:hAnsi="Times New Roman" w:cs="Times New Roman"/>
          <w:sz w:val="26"/>
          <w:szCs w:val="26"/>
        </w:rPr>
      </w:pPr>
    </w:p>
    <w:p w14:paraId="3897C259" w14:textId="70B2AC02" w:rsidR="00371119" w:rsidRPr="00616F85" w:rsidRDefault="00371119" w:rsidP="00927325">
      <w:pPr>
        <w:spacing w:after="0" w:line="240" w:lineRule="auto"/>
        <w:jc w:val="both"/>
        <w:rPr>
          <w:rFonts w:ascii="Times New Roman" w:hAnsi="Times New Roman" w:cs="Times New Roman"/>
          <w:i/>
          <w:iCs/>
          <w:sz w:val="28"/>
          <w:szCs w:val="28"/>
        </w:rPr>
      </w:pPr>
      <w:r w:rsidRPr="00616F85">
        <w:rPr>
          <w:rFonts w:ascii="Times New Roman" w:hAnsi="Times New Roman" w:cs="Times New Roman"/>
          <w:sz w:val="28"/>
          <w:szCs w:val="28"/>
        </w:rPr>
        <w:tab/>
      </w:r>
      <w:r w:rsidR="00142D9D" w:rsidRPr="00616F85">
        <w:rPr>
          <w:rFonts w:ascii="Times New Roman" w:hAnsi="Times New Roman" w:cs="Times New Roman"/>
          <w:i/>
          <w:iCs/>
          <w:sz w:val="28"/>
          <w:szCs w:val="28"/>
        </w:rPr>
        <w:t>Note:</w:t>
      </w:r>
      <w:r w:rsidR="00142D9D" w:rsidRPr="00616F85">
        <w:rPr>
          <w:rFonts w:ascii="Times New Roman" w:hAnsi="Times New Roman" w:cs="Times New Roman"/>
          <w:sz w:val="28"/>
          <w:szCs w:val="28"/>
        </w:rPr>
        <w:t xml:space="preserve"> </w:t>
      </w:r>
      <w:r w:rsidRPr="00616F85">
        <w:rPr>
          <w:rFonts w:ascii="Times New Roman" w:hAnsi="Times New Roman" w:cs="Times New Roman"/>
          <w:i/>
          <w:iCs/>
          <w:sz w:val="28"/>
          <w:szCs w:val="28"/>
        </w:rPr>
        <w:t>The following colloquy</w:t>
      </w:r>
      <w:r w:rsidR="001A67C2" w:rsidRPr="00616F85">
        <w:rPr>
          <w:rFonts w:ascii="Times New Roman" w:hAnsi="Times New Roman" w:cs="Times New Roman"/>
          <w:i/>
          <w:iCs/>
          <w:sz w:val="28"/>
          <w:szCs w:val="28"/>
        </w:rPr>
        <w:t xml:space="preserve"> </w:t>
      </w:r>
      <w:r w:rsidR="001A67C2" w:rsidRPr="00616F85">
        <w:rPr>
          <w:rFonts w:ascii="Times New Roman" w:hAnsi="Times New Roman" w:cs="Times New Roman"/>
          <w:sz w:val="28"/>
          <w:szCs w:val="28"/>
        </w:rPr>
        <w:t>attempts to fulfill the requirement of CPL 30.30(5)</w:t>
      </w:r>
      <w:r w:rsidR="00D87EC6" w:rsidRPr="00616F85">
        <w:rPr>
          <w:rStyle w:val="EndnoteReference"/>
          <w:rFonts w:ascii="Times New Roman" w:hAnsi="Times New Roman" w:cs="Times New Roman"/>
          <w:sz w:val="28"/>
          <w:szCs w:val="28"/>
        </w:rPr>
        <w:t xml:space="preserve"> </w:t>
      </w:r>
      <w:r w:rsidR="00D87EC6" w:rsidRPr="00616F85">
        <w:rPr>
          <w:rStyle w:val="EndnoteReference"/>
          <w:rFonts w:ascii="Times New Roman" w:hAnsi="Times New Roman" w:cs="Times New Roman"/>
          <w:sz w:val="28"/>
          <w:szCs w:val="28"/>
        </w:rPr>
        <w:endnoteReference w:id="2"/>
      </w:r>
      <w:r w:rsidR="00D87EC6" w:rsidRPr="00616F85">
        <w:rPr>
          <w:rFonts w:ascii="Times New Roman" w:hAnsi="Times New Roman" w:cs="Times New Roman"/>
          <w:sz w:val="28"/>
          <w:szCs w:val="28"/>
        </w:rPr>
        <w:t xml:space="preserve">  </w:t>
      </w:r>
      <w:r w:rsidR="001A67C2" w:rsidRPr="00616F85">
        <w:rPr>
          <w:rFonts w:ascii="Times New Roman" w:hAnsi="Times New Roman" w:cs="Times New Roman"/>
          <w:i/>
          <w:iCs/>
          <w:sz w:val="28"/>
          <w:szCs w:val="28"/>
        </w:rPr>
        <w:t xml:space="preserve"> It</w:t>
      </w:r>
      <w:r w:rsidR="000C6EC2" w:rsidRPr="00616F85">
        <w:rPr>
          <w:rFonts w:ascii="Times New Roman" w:hAnsi="Times New Roman" w:cs="Times New Roman"/>
          <w:i/>
          <w:iCs/>
          <w:sz w:val="28"/>
          <w:szCs w:val="28"/>
        </w:rPr>
        <w:t xml:space="preserve"> is a </w:t>
      </w:r>
      <w:r w:rsidR="0024381B" w:rsidRPr="00616F85">
        <w:rPr>
          <w:rFonts w:ascii="Times New Roman" w:hAnsi="Times New Roman" w:cs="Times New Roman"/>
          <w:i/>
          <w:iCs/>
          <w:sz w:val="28"/>
          <w:szCs w:val="28"/>
        </w:rPr>
        <w:t>“</w:t>
      </w:r>
      <w:r w:rsidR="000C6EC2" w:rsidRPr="00616F85">
        <w:rPr>
          <w:rFonts w:ascii="Times New Roman" w:hAnsi="Times New Roman" w:cs="Times New Roman"/>
          <w:i/>
          <w:iCs/>
          <w:sz w:val="28"/>
          <w:szCs w:val="28"/>
        </w:rPr>
        <w:t>w</w:t>
      </w:r>
      <w:r w:rsidR="00296FFB" w:rsidRPr="00616F85">
        <w:rPr>
          <w:rFonts w:ascii="Times New Roman" w:hAnsi="Times New Roman" w:cs="Times New Roman"/>
          <w:i/>
          <w:iCs/>
          <w:sz w:val="28"/>
          <w:szCs w:val="28"/>
        </w:rPr>
        <w:t>ork-in-progress</w:t>
      </w:r>
      <w:r w:rsidR="0024381B" w:rsidRPr="00616F85">
        <w:rPr>
          <w:rFonts w:ascii="Times New Roman" w:hAnsi="Times New Roman" w:cs="Times New Roman"/>
          <w:i/>
          <w:iCs/>
          <w:sz w:val="28"/>
          <w:szCs w:val="28"/>
        </w:rPr>
        <w:t>”</w:t>
      </w:r>
      <w:r w:rsidR="00296FFB" w:rsidRPr="00616F85">
        <w:rPr>
          <w:rFonts w:ascii="Times New Roman" w:hAnsi="Times New Roman" w:cs="Times New Roman"/>
          <w:i/>
          <w:iCs/>
          <w:sz w:val="28"/>
          <w:szCs w:val="28"/>
        </w:rPr>
        <w:t xml:space="preserve"> and is submitted as a </w:t>
      </w:r>
      <w:r w:rsidR="00412C24" w:rsidRPr="00616F85">
        <w:rPr>
          <w:rFonts w:ascii="Times New Roman" w:hAnsi="Times New Roman" w:cs="Times New Roman"/>
          <w:i/>
          <w:iCs/>
          <w:sz w:val="28"/>
          <w:szCs w:val="28"/>
        </w:rPr>
        <w:t>suggested guide</w:t>
      </w:r>
      <w:r w:rsidR="00E63EB1" w:rsidRPr="00616F85">
        <w:rPr>
          <w:rFonts w:ascii="Times New Roman" w:hAnsi="Times New Roman" w:cs="Times New Roman"/>
          <w:i/>
          <w:iCs/>
          <w:sz w:val="28"/>
          <w:szCs w:val="28"/>
        </w:rPr>
        <w:t xml:space="preserve">, </w:t>
      </w:r>
      <w:r w:rsidR="00BE4D70" w:rsidRPr="00616F85">
        <w:rPr>
          <w:rFonts w:ascii="Times New Roman" w:hAnsi="Times New Roman" w:cs="Times New Roman"/>
          <w:i/>
          <w:iCs/>
          <w:sz w:val="28"/>
          <w:szCs w:val="28"/>
        </w:rPr>
        <w:t xml:space="preserve">while the </w:t>
      </w:r>
      <w:r w:rsidR="00303CC3" w:rsidRPr="00616F85">
        <w:rPr>
          <w:rFonts w:ascii="Times New Roman" w:hAnsi="Times New Roman" w:cs="Times New Roman"/>
          <w:i/>
          <w:iCs/>
          <w:sz w:val="28"/>
          <w:szCs w:val="28"/>
        </w:rPr>
        <w:t xml:space="preserve">courts </w:t>
      </w:r>
      <w:r w:rsidR="00E63EB1" w:rsidRPr="00616F85">
        <w:rPr>
          <w:rFonts w:ascii="Times New Roman" w:hAnsi="Times New Roman" w:cs="Times New Roman"/>
          <w:i/>
          <w:iCs/>
          <w:sz w:val="28"/>
          <w:szCs w:val="28"/>
        </w:rPr>
        <w:t xml:space="preserve">gain experience </w:t>
      </w:r>
      <w:r w:rsidR="00BE4D70" w:rsidRPr="00616F85">
        <w:rPr>
          <w:rFonts w:ascii="Times New Roman" w:hAnsi="Times New Roman" w:cs="Times New Roman"/>
          <w:i/>
          <w:iCs/>
          <w:sz w:val="28"/>
          <w:szCs w:val="28"/>
        </w:rPr>
        <w:t>in</w:t>
      </w:r>
      <w:r w:rsidR="006957AC" w:rsidRPr="00616F85">
        <w:rPr>
          <w:rFonts w:ascii="Times New Roman" w:hAnsi="Times New Roman" w:cs="Times New Roman"/>
          <w:i/>
          <w:iCs/>
          <w:sz w:val="28"/>
          <w:szCs w:val="28"/>
        </w:rPr>
        <w:t xml:space="preserve"> fulfilling </w:t>
      </w:r>
      <w:r w:rsidR="00680D69" w:rsidRPr="00616F85">
        <w:rPr>
          <w:rFonts w:ascii="Times New Roman" w:hAnsi="Times New Roman" w:cs="Times New Roman"/>
          <w:i/>
          <w:iCs/>
          <w:sz w:val="28"/>
          <w:szCs w:val="28"/>
        </w:rPr>
        <w:t xml:space="preserve">the law’s requirement </w:t>
      </w:r>
      <w:r w:rsidR="006719CE" w:rsidRPr="00616F85">
        <w:rPr>
          <w:rFonts w:ascii="Times New Roman" w:hAnsi="Times New Roman" w:cs="Times New Roman"/>
          <w:i/>
          <w:iCs/>
          <w:sz w:val="28"/>
          <w:szCs w:val="28"/>
        </w:rPr>
        <w:t xml:space="preserve">that </w:t>
      </w:r>
      <w:r w:rsidR="00EA7BF5" w:rsidRPr="00616F85">
        <w:rPr>
          <w:rFonts w:ascii="Times New Roman" w:hAnsi="Times New Roman" w:cs="Times New Roman"/>
          <w:i/>
          <w:iCs/>
          <w:sz w:val="28"/>
          <w:szCs w:val="28"/>
        </w:rPr>
        <w:t xml:space="preserve">on a People’s statement of readiness, </w:t>
      </w:r>
      <w:r w:rsidR="006719CE" w:rsidRPr="00616F85">
        <w:rPr>
          <w:rFonts w:ascii="Times New Roman" w:hAnsi="Times New Roman" w:cs="Times New Roman"/>
          <w:i/>
          <w:iCs/>
          <w:sz w:val="28"/>
          <w:szCs w:val="28"/>
        </w:rPr>
        <w:t xml:space="preserve">the court make inquiry on the record </w:t>
      </w:r>
      <w:r w:rsidR="00680D69" w:rsidRPr="00616F85">
        <w:rPr>
          <w:rFonts w:ascii="Times New Roman" w:hAnsi="Times New Roman" w:cs="Times New Roman"/>
          <w:i/>
          <w:iCs/>
          <w:sz w:val="28"/>
          <w:szCs w:val="28"/>
        </w:rPr>
        <w:t xml:space="preserve"> </w:t>
      </w:r>
      <w:r w:rsidR="00EA7BF5" w:rsidRPr="00616F85">
        <w:rPr>
          <w:rFonts w:ascii="Times New Roman" w:hAnsi="Times New Roman" w:cs="Times New Roman"/>
          <w:i/>
          <w:iCs/>
          <w:sz w:val="28"/>
          <w:szCs w:val="28"/>
        </w:rPr>
        <w:t xml:space="preserve">as to their “actual readiness.” The Committee invites the bench to share </w:t>
      </w:r>
      <w:r w:rsidR="00FB2987" w:rsidRPr="00616F85">
        <w:rPr>
          <w:rFonts w:ascii="Times New Roman" w:hAnsi="Times New Roman" w:cs="Times New Roman"/>
          <w:i/>
          <w:iCs/>
          <w:sz w:val="28"/>
          <w:szCs w:val="28"/>
        </w:rPr>
        <w:t>its</w:t>
      </w:r>
      <w:r w:rsidR="00EA7BF5" w:rsidRPr="00616F85">
        <w:rPr>
          <w:rFonts w:ascii="Times New Roman" w:hAnsi="Times New Roman" w:cs="Times New Roman"/>
          <w:i/>
          <w:iCs/>
          <w:sz w:val="28"/>
          <w:szCs w:val="28"/>
        </w:rPr>
        <w:t xml:space="preserve"> experiences and </w:t>
      </w:r>
      <w:r w:rsidR="00315912" w:rsidRPr="00616F85">
        <w:rPr>
          <w:rFonts w:ascii="Times New Roman" w:hAnsi="Times New Roman" w:cs="Times New Roman"/>
          <w:i/>
          <w:iCs/>
          <w:sz w:val="28"/>
          <w:szCs w:val="28"/>
        </w:rPr>
        <w:t xml:space="preserve">any colloquy </w:t>
      </w:r>
      <w:r w:rsidR="001A2DB1" w:rsidRPr="00616F85">
        <w:rPr>
          <w:rFonts w:ascii="Times New Roman" w:hAnsi="Times New Roman" w:cs="Times New Roman"/>
          <w:i/>
          <w:iCs/>
          <w:sz w:val="28"/>
          <w:szCs w:val="28"/>
        </w:rPr>
        <w:t>recommendations</w:t>
      </w:r>
      <w:r w:rsidR="00315912" w:rsidRPr="00616F85">
        <w:rPr>
          <w:rFonts w:ascii="Times New Roman" w:hAnsi="Times New Roman" w:cs="Times New Roman"/>
          <w:i/>
          <w:iCs/>
          <w:sz w:val="28"/>
          <w:szCs w:val="28"/>
        </w:rPr>
        <w:t xml:space="preserve"> that </w:t>
      </w:r>
      <w:r w:rsidR="00CE4A7F" w:rsidRPr="00616F85">
        <w:rPr>
          <w:rFonts w:ascii="Times New Roman" w:hAnsi="Times New Roman" w:cs="Times New Roman"/>
          <w:i/>
          <w:iCs/>
          <w:sz w:val="28"/>
          <w:szCs w:val="28"/>
        </w:rPr>
        <w:t>flow</w:t>
      </w:r>
      <w:r w:rsidR="00315912" w:rsidRPr="00616F85">
        <w:rPr>
          <w:rFonts w:ascii="Times New Roman" w:hAnsi="Times New Roman" w:cs="Times New Roman"/>
          <w:i/>
          <w:iCs/>
          <w:sz w:val="28"/>
          <w:szCs w:val="28"/>
        </w:rPr>
        <w:t xml:space="preserve"> from those experiences.</w:t>
      </w:r>
      <w:r w:rsidR="001A2DB1" w:rsidRPr="00616F85">
        <w:rPr>
          <w:rFonts w:ascii="Times New Roman" w:hAnsi="Times New Roman" w:cs="Times New Roman"/>
          <w:i/>
          <w:iCs/>
          <w:sz w:val="28"/>
          <w:szCs w:val="28"/>
        </w:rPr>
        <w:t xml:space="preserve"> </w:t>
      </w:r>
    </w:p>
    <w:p w14:paraId="0EE1629B" w14:textId="779099C4" w:rsidR="00371119" w:rsidRPr="00616F85" w:rsidRDefault="00371119" w:rsidP="00BE6FA6">
      <w:pPr>
        <w:spacing w:after="0" w:line="240" w:lineRule="auto"/>
        <w:jc w:val="center"/>
        <w:rPr>
          <w:rFonts w:ascii="Times New Roman" w:hAnsi="Times New Roman" w:cs="Times New Roman"/>
          <w:sz w:val="26"/>
          <w:szCs w:val="26"/>
        </w:rPr>
      </w:pPr>
    </w:p>
    <w:p w14:paraId="0167DCA8" w14:textId="77777777" w:rsidR="00371119" w:rsidRPr="00616F85" w:rsidRDefault="00371119" w:rsidP="00BE6FA6">
      <w:pPr>
        <w:spacing w:after="0" w:line="240" w:lineRule="auto"/>
        <w:jc w:val="center"/>
        <w:rPr>
          <w:rFonts w:ascii="Times New Roman" w:hAnsi="Times New Roman" w:cs="Times New Roman"/>
          <w:sz w:val="26"/>
          <w:szCs w:val="26"/>
        </w:rPr>
      </w:pPr>
    </w:p>
    <w:p w14:paraId="0FF4CB5E" w14:textId="4915E413" w:rsidR="005D7C9E" w:rsidRPr="00616F85" w:rsidRDefault="005D7C9E" w:rsidP="007055E4">
      <w:pPr>
        <w:spacing w:after="0" w:line="240" w:lineRule="auto"/>
        <w:jc w:val="both"/>
        <w:rPr>
          <w:rFonts w:ascii="Times New Roman" w:hAnsi="Times New Roman" w:cs="Times New Roman"/>
          <w:b/>
          <w:bCs/>
          <w:sz w:val="28"/>
          <w:szCs w:val="28"/>
        </w:rPr>
      </w:pPr>
      <w:r w:rsidRPr="00616F85">
        <w:rPr>
          <w:rFonts w:ascii="Times New Roman" w:hAnsi="Times New Roman" w:cs="Times New Roman"/>
          <w:b/>
          <w:bCs/>
          <w:sz w:val="28"/>
          <w:szCs w:val="28"/>
        </w:rPr>
        <w:t>TO THE PROSECUTOR:</w:t>
      </w:r>
    </w:p>
    <w:p w14:paraId="67DB7847" w14:textId="77777777" w:rsidR="005D7C9E" w:rsidRPr="00616F85" w:rsidRDefault="005D7C9E" w:rsidP="007055E4">
      <w:pPr>
        <w:spacing w:after="0" w:line="240" w:lineRule="auto"/>
        <w:jc w:val="both"/>
        <w:rPr>
          <w:rFonts w:ascii="Times New Roman" w:hAnsi="Times New Roman" w:cs="Times New Roman"/>
          <w:sz w:val="28"/>
          <w:szCs w:val="28"/>
        </w:rPr>
      </w:pPr>
    </w:p>
    <w:p w14:paraId="6171EA49" w14:textId="72EEE66D" w:rsidR="005D7C9E" w:rsidRPr="00616F85" w:rsidRDefault="005D7C9E" w:rsidP="005B7F22">
      <w:pPr>
        <w:pStyle w:val="ListParagraph"/>
        <w:numPr>
          <w:ilvl w:val="0"/>
          <w:numId w:val="1"/>
        </w:numPr>
        <w:jc w:val="both"/>
        <w:rPr>
          <w:rFonts w:ascii="Times New Roman" w:hAnsi="Times New Roman" w:cs="Times New Roman"/>
          <w:sz w:val="28"/>
          <w:szCs w:val="28"/>
        </w:rPr>
      </w:pPr>
      <w:r w:rsidRPr="00616F85">
        <w:rPr>
          <w:rFonts w:ascii="Times New Roman" w:hAnsi="Times New Roman" w:cs="Times New Roman"/>
          <w:sz w:val="28"/>
          <w:szCs w:val="28"/>
        </w:rPr>
        <w:t>Have the People filed a certificate of compliance with the discovery requirements of CPL 245.20?</w:t>
      </w:r>
      <w:r w:rsidR="00851D53" w:rsidRPr="00616F85">
        <w:rPr>
          <w:rFonts w:ascii="Times New Roman" w:hAnsi="Times New Roman" w:cs="Times New Roman"/>
          <w:sz w:val="28"/>
          <w:szCs w:val="28"/>
        </w:rPr>
        <w:t xml:space="preserve"> </w:t>
      </w:r>
      <w:r w:rsidRPr="00616F85">
        <w:rPr>
          <w:rStyle w:val="EndnoteReference"/>
          <w:rFonts w:ascii="Times New Roman" w:hAnsi="Times New Roman" w:cs="Times New Roman"/>
          <w:sz w:val="28"/>
          <w:szCs w:val="28"/>
        </w:rPr>
        <w:endnoteReference w:id="3"/>
      </w:r>
    </w:p>
    <w:p w14:paraId="59FA5B02" w14:textId="77777777" w:rsidR="005D7C9E" w:rsidRPr="00616F85" w:rsidRDefault="005D7C9E" w:rsidP="00E77C41">
      <w:pPr>
        <w:pStyle w:val="ListParagraph"/>
        <w:jc w:val="both"/>
        <w:rPr>
          <w:rFonts w:ascii="Times New Roman" w:hAnsi="Times New Roman" w:cs="Times New Roman"/>
          <w:sz w:val="28"/>
          <w:szCs w:val="28"/>
        </w:rPr>
      </w:pPr>
    </w:p>
    <w:p w14:paraId="6A35EC5A" w14:textId="77777777" w:rsidR="005D7C9E" w:rsidRPr="00616F85" w:rsidRDefault="005D7C9E" w:rsidP="00EF2E6C">
      <w:pPr>
        <w:pStyle w:val="ListParagraph"/>
        <w:jc w:val="both"/>
        <w:rPr>
          <w:rFonts w:ascii="Times New Roman" w:hAnsi="Times New Roman" w:cs="Times New Roman"/>
          <w:i/>
          <w:iCs/>
          <w:sz w:val="28"/>
          <w:szCs w:val="28"/>
        </w:rPr>
      </w:pPr>
      <w:r w:rsidRPr="00616F85">
        <w:rPr>
          <w:rFonts w:ascii="Times New Roman" w:hAnsi="Times New Roman" w:cs="Times New Roman"/>
          <w:i/>
          <w:iCs/>
          <w:sz w:val="28"/>
          <w:szCs w:val="28"/>
        </w:rPr>
        <w:t>Add if appropriate:</w:t>
      </w:r>
    </w:p>
    <w:p w14:paraId="26088C6C" w14:textId="520ACA19" w:rsidR="005D7C9E" w:rsidRPr="00616F85" w:rsidRDefault="005D7C9E" w:rsidP="00EF2E6C">
      <w:pPr>
        <w:pStyle w:val="ListParagraph"/>
        <w:jc w:val="both"/>
        <w:rPr>
          <w:rFonts w:ascii="Times New Roman" w:hAnsi="Times New Roman" w:cs="Times New Roman"/>
          <w:sz w:val="28"/>
          <w:szCs w:val="28"/>
        </w:rPr>
      </w:pPr>
      <w:r w:rsidRPr="00616F85">
        <w:rPr>
          <w:rFonts w:ascii="Times New Roman" w:hAnsi="Times New Roman" w:cs="Times New Roman"/>
          <w:sz w:val="28"/>
          <w:szCs w:val="28"/>
        </w:rPr>
        <w:t>Has there been a need to file a supplemental certificate of compliance, and if so, have the People done so?</w:t>
      </w:r>
      <w:r w:rsidR="00851D53" w:rsidRPr="00616F85">
        <w:rPr>
          <w:rFonts w:ascii="Times New Roman" w:hAnsi="Times New Roman" w:cs="Times New Roman"/>
          <w:sz w:val="28"/>
          <w:szCs w:val="28"/>
        </w:rPr>
        <w:t xml:space="preserve"> </w:t>
      </w:r>
      <w:r w:rsidRPr="00616F85">
        <w:rPr>
          <w:rStyle w:val="EndnoteReference"/>
          <w:rFonts w:ascii="Times New Roman" w:hAnsi="Times New Roman" w:cs="Times New Roman"/>
          <w:sz w:val="28"/>
          <w:szCs w:val="28"/>
        </w:rPr>
        <w:endnoteReference w:id="4"/>
      </w:r>
      <w:r w:rsidRPr="00616F85">
        <w:rPr>
          <w:rFonts w:ascii="Times New Roman" w:hAnsi="Times New Roman" w:cs="Times New Roman"/>
          <w:sz w:val="28"/>
          <w:szCs w:val="28"/>
        </w:rPr>
        <w:t xml:space="preserve"> </w:t>
      </w:r>
    </w:p>
    <w:p w14:paraId="33BBBEBB" w14:textId="4490CF12" w:rsidR="005D7C9E" w:rsidRPr="00616F85" w:rsidRDefault="005D7C9E" w:rsidP="00EF2E6C">
      <w:pPr>
        <w:pStyle w:val="ListParagraph"/>
        <w:jc w:val="both"/>
        <w:rPr>
          <w:rFonts w:ascii="Times New Roman" w:hAnsi="Times New Roman" w:cs="Times New Roman"/>
          <w:sz w:val="28"/>
          <w:szCs w:val="28"/>
        </w:rPr>
      </w:pPr>
    </w:p>
    <w:p w14:paraId="4F39451C" w14:textId="0A499C8E" w:rsidR="005D7C9E" w:rsidRPr="00616F85" w:rsidRDefault="005D7C9E" w:rsidP="00EF2E6C">
      <w:pPr>
        <w:pStyle w:val="ListParagraph"/>
        <w:jc w:val="both"/>
        <w:rPr>
          <w:rFonts w:ascii="Times New Roman" w:hAnsi="Times New Roman" w:cs="Times New Roman"/>
          <w:i/>
          <w:iCs/>
          <w:sz w:val="28"/>
          <w:szCs w:val="28"/>
        </w:rPr>
      </w:pPr>
      <w:r w:rsidRPr="00616F85">
        <w:rPr>
          <w:rFonts w:ascii="Times New Roman" w:hAnsi="Times New Roman" w:cs="Times New Roman"/>
          <w:i/>
          <w:iCs/>
          <w:sz w:val="28"/>
          <w:szCs w:val="28"/>
        </w:rPr>
        <w:t>Add if the People have not filed a certificate of compliance:</w:t>
      </w:r>
    </w:p>
    <w:p w14:paraId="71DA2C22" w14:textId="5AD357B5" w:rsidR="005D7C9E" w:rsidRPr="00616F85" w:rsidRDefault="005D7C9E" w:rsidP="00EF2E6C">
      <w:pPr>
        <w:pStyle w:val="ListParagraph"/>
        <w:jc w:val="both"/>
        <w:rPr>
          <w:rFonts w:ascii="Times New Roman" w:hAnsi="Times New Roman" w:cs="Times New Roman"/>
          <w:sz w:val="28"/>
          <w:szCs w:val="28"/>
        </w:rPr>
      </w:pPr>
      <w:r w:rsidRPr="00616F85">
        <w:rPr>
          <w:rFonts w:ascii="Times New Roman" w:hAnsi="Times New Roman" w:cs="Times New Roman"/>
          <w:sz w:val="28"/>
          <w:szCs w:val="28"/>
        </w:rPr>
        <w:t xml:space="preserve">Are the People claiming that they are nonetheless ready because </w:t>
      </w:r>
      <w:r w:rsidR="00277D45" w:rsidRPr="00616F85">
        <w:rPr>
          <w:rFonts w:ascii="Times New Roman" w:hAnsi="Times New Roman" w:cs="Times New Roman"/>
          <w:sz w:val="28"/>
          <w:szCs w:val="28"/>
        </w:rPr>
        <w:t>special</w:t>
      </w:r>
      <w:r w:rsidRPr="00616F85">
        <w:rPr>
          <w:rFonts w:ascii="Times New Roman" w:hAnsi="Times New Roman" w:cs="Times New Roman"/>
          <w:sz w:val="28"/>
          <w:szCs w:val="28"/>
        </w:rPr>
        <w:t xml:space="preserve"> circumstance</w:t>
      </w:r>
      <w:r w:rsidR="00277D45" w:rsidRPr="00616F85">
        <w:rPr>
          <w:rFonts w:ascii="Times New Roman" w:hAnsi="Times New Roman" w:cs="Times New Roman"/>
          <w:sz w:val="28"/>
          <w:szCs w:val="28"/>
        </w:rPr>
        <w:t>s in this case</w:t>
      </w:r>
      <w:r w:rsidRPr="00616F85">
        <w:rPr>
          <w:rFonts w:ascii="Times New Roman" w:hAnsi="Times New Roman" w:cs="Times New Roman"/>
          <w:sz w:val="28"/>
          <w:szCs w:val="28"/>
        </w:rPr>
        <w:t xml:space="preserve"> have prevented them from filing the certificate?</w:t>
      </w:r>
      <w:r w:rsidR="00851D53" w:rsidRPr="00616F85">
        <w:rPr>
          <w:rFonts w:ascii="Times New Roman" w:hAnsi="Times New Roman" w:cs="Times New Roman"/>
          <w:sz w:val="28"/>
          <w:szCs w:val="28"/>
        </w:rPr>
        <w:t xml:space="preserve"> </w:t>
      </w:r>
      <w:r w:rsidRPr="00616F85">
        <w:rPr>
          <w:rStyle w:val="EndnoteReference"/>
          <w:rFonts w:ascii="Times New Roman" w:hAnsi="Times New Roman" w:cs="Times New Roman"/>
          <w:sz w:val="28"/>
          <w:szCs w:val="28"/>
        </w:rPr>
        <w:endnoteReference w:id="5"/>
      </w:r>
      <w:r w:rsidRPr="00616F85">
        <w:rPr>
          <w:rFonts w:ascii="Times New Roman" w:hAnsi="Times New Roman" w:cs="Times New Roman"/>
          <w:sz w:val="28"/>
          <w:szCs w:val="28"/>
        </w:rPr>
        <w:t xml:space="preserve">  If so, what are those circumstances?</w:t>
      </w:r>
    </w:p>
    <w:p w14:paraId="1FD4982E" w14:textId="77777777" w:rsidR="00142D9D" w:rsidRPr="00616F85" w:rsidRDefault="00142D9D" w:rsidP="00114DBB">
      <w:pPr>
        <w:pStyle w:val="ListParagraph"/>
        <w:jc w:val="both"/>
        <w:rPr>
          <w:rFonts w:ascii="Times New Roman" w:hAnsi="Times New Roman" w:cs="Times New Roman"/>
          <w:sz w:val="28"/>
          <w:szCs w:val="28"/>
        </w:rPr>
      </w:pPr>
      <w:bookmarkStart w:id="2" w:name="_Hlk37694010"/>
    </w:p>
    <w:bookmarkEnd w:id="2"/>
    <w:p w14:paraId="53D08990" w14:textId="012AE156" w:rsidR="005D7C9E" w:rsidRPr="00616F85" w:rsidRDefault="005D7C9E" w:rsidP="00342EC4">
      <w:pPr>
        <w:pStyle w:val="ListParagraph"/>
        <w:numPr>
          <w:ilvl w:val="0"/>
          <w:numId w:val="5"/>
        </w:numPr>
        <w:jc w:val="both"/>
        <w:rPr>
          <w:rFonts w:ascii="Times New Roman" w:hAnsi="Times New Roman" w:cs="Times New Roman"/>
          <w:sz w:val="28"/>
          <w:szCs w:val="28"/>
        </w:rPr>
      </w:pPr>
      <w:r w:rsidRPr="00616F85">
        <w:rPr>
          <w:rFonts w:ascii="Times New Roman" w:hAnsi="Times New Roman" w:cs="Times New Roman"/>
          <w:sz w:val="28"/>
          <w:szCs w:val="28"/>
        </w:rPr>
        <w:t>Are you, or another prosecutor, presently available and ready to try the case?</w:t>
      </w:r>
      <w:r w:rsidR="00851D53" w:rsidRPr="00616F85">
        <w:rPr>
          <w:rFonts w:ascii="Times New Roman" w:hAnsi="Times New Roman" w:cs="Times New Roman"/>
          <w:sz w:val="28"/>
          <w:szCs w:val="28"/>
        </w:rPr>
        <w:t xml:space="preserve"> </w:t>
      </w:r>
      <w:r w:rsidRPr="00616F85">
        <w:rPr>
          <w:rStyle w:val="EndnoteReference"/>
          <w:rFonts w:ascii="Times New Roman" w:hAnsi="Times New Roman" w:cs="Times New Roman"/>
          <w:sz w:val="28"/>
          <w:szCs w:val="28"/>
        </w:rPr>
        <w:endnoteReference w:id="6"/>
      </w:r>
      <w:r w:rsidRPr="00616F85">
        <w:rPr>
          <w:rFonts w:ascii="Times New Roman" w:hAnsi="Times New Roman" w:cs="Times New Roman"/>
          <w:sz w:val="28"/>
          <w:szCs w:val="28"/>
        </w:rPr>
        <w:t xml:space="preserve"> </w:t>
      </w:r>
    </w:p>
    <w:p w14:paraId="07859C69" w14:textId="77777777" w:rsidR="005D7C9E" w:rsidRPr="00616F85" w:rsidRDefault="005D7C9E" w:rsidP="00342EC4">
      <w:pPr>
        <w:pStyle w:val="ListParagraph"/>
        <w:jc w:val="both"/>
        <w:rPr>
          <w:rFonts w:ascii="Times New Roman" w:hAnsi="Times New Roman" w:cs="Times New Roman"/>
          <w:sz w:val="28"/>
          <w:szCs w:val="28"/>
        </w:rPr>
      </w:pPr>
    </w:p>
    <w:p w14:paraId="57A8050B" w14:textId="62061C14" w:rsidR="005D7C9E" w:rsidRPr="00616F85" w:rsidRDefault="005D7C9E" w:rsidP="00A438BF">
      <w:pPr>
        <w:pStyle w:val="ListParagraph"/>
        <w:numPr>
          <w:ilvl w:val="0"/>
          <w:numId w:val="5"/>
        </w:numPr>
        <w:jc w:val="both"/>
        <w:rPr>
          <w:rFonts w:ascii="Times New Roman" w:hAnsi="Times New Roman" w:cs="Times New Roman"/>
          <w:sz w:val="28"/>
          <w:szCs w:val="28"/>
        </w:rPr>
      </w:pPr>
      <w:r w:rsidRPr="00616F85">
        <w:rPr>
          <w:rFonts w:ascii="Times New Roman" w:hAnsi="Times New Roman" w:cs="Times New Roman"/>
          <w:sz w:val="28"/>
          <w:szCs w:val="28"/>
        </w:rPr>
        <w:t>Are the witnesses, including any expert witness, that you deem necessary for the People to presently go to trial, available to testify?</w:t>
      </w:r>
      <w:r w:rsidR="00851D53" w:rsidRPr="00616F85">
        <w:rPr>
          <w:rFonts w:ascii="Times New Roman" w:hAnsi="Times New Roman" w:cs="Times New Roman"/>
          <w:sz w:val="28"/>
          <w:szCs w:val="28"/>
        </w:rPr>
        <w:t xml:space="preserve"> </w:t>
      </w:r>
      <w:r w:rsidRPr="00616F85">
        <w:rPr>
          <w:rStyle w:val="EndnoteReference"/>
          <w:rFonts w:ascii="Times New Roman" w:hAnsi="Times New Roman" w:cs="Times New Roman"/>
          <w:sz w:val="28"/>
          <w:szCs w:val="28"/>
        </w:rPr>
        <w:endnoteReference w:id="7"/>
      </w:r>
      <w:r w:rsidRPr="00616F85">
        <w:rPr>
          <w:rFonts w:ascii="Times New Roman" w:hAnsi="Times New Roman" w:cs="Times New Roman"/>
          <w:sz w:val="28"/>
          <w:szCs w:val="28"/>
        </w:rPr>
        <w:t xml:space="preserve">  </w:t>
      </w:r>
    </w:p>
    <w:p w14:paraId="1F701E0F" w14:textId="77777777" w:rsidR="00851D53" w:rsidRPr="00616F85" w:rsidRDefault="00851D53" w:rsidP="00851D53">
      <w:pPr>
        <w:pStyle w:val="ListParagraph"/>
        <w:jc w:val="both"/>
        <w:rPr>
          <w:rFonts w:ascii="Times New Roman" w:hAnsi="Times New Roman" w:cs="Times New Roman"/>
          <w:sz w:val="28"/>
          <w:szCs w:val="28"/>
        </w:rPr>
      </w:pPr>
    </w:p>
    <w:p w14:paraId="31527D9A" w14:textId="274CCF83" w:rsidR="005D7C9E" w:rsidRPr="00616F85" w:rsidRDefault="005D7C9E" w:rsidP="00F06985">
      <w:pPr>
        <w:pStyle w:val="ListParagraph"/>
        <w:numPr>
          <w:ilvl w:val="0"/>
          <w:numId w:val="5"/>
        </w:numPr>
        <w:jc w:val="both"/>
        <w:rPr>
          <w:rFonts w:ascii="Times New Roman" w:hAnsi="Times New Roman" w:cs="Times New Roman"/>
          <w:sz w:val="28"/>
          <w:szCs w:val="28"/>
        </w:rPr>
      </w:pPr>
      <w:r w:rsidRPr="00616F85">
        <w:rPr>
          <w:rFonts w:ascii="Times New Roman" w:hAnsi="Times New Roman" w:cs="Times New Roman"/>
          <w:sz w:val="28"/>
          <w:szCs w:val="28"/>
        </w:rPr>
        <w:t>Are any exhibits that you deem necessary to introduce at trial presently available for that purpose?</w:t>
      </w:r>
    </w:p>
    <w:p w14:paraId="001338E8" w14:textId="35FD2E1E" w:rsidR="005D7C9E" w:rsidRPr="00616F85" w:rsidRDefault="005D7C9E" w:rsidP="009C700E">
      <w:pPr>
        <w:pStyle w:val="ListParagraph"/>
        <w:rPr>
          <w:rFonts w:ascii="Times New Roman" w:hAnsi="Times New Roman" w:cs="Times New Roman"/>
          <w:sz w:val="28"/>
          <w:szCs w:val="28"/>
        </w:rPr>
      </w:pPr>
    </w:p>
    <w:p w14:paraId="70C83CD0" w14:textId="023CF93F" w:rsidR="005D7C9E" w:rsidRPr="00616F85" w:rsidRDefault="005D7C9E" w:rsidP="00F06985">
      <w:pPr>
        <w:pStyle w:val="ListParagraph"/>
        <w:numPr>
          <w:ilvl w:val="0"/>
          <w:numId w:val="5"/>
        </w:numPr>
        <w:jc w:val="both"/>
        <w:rPr>
          <w:rFonts w:ascii="Times New Roman" w:hAnsi="Times New Roman" w:cs="Times New Roman"/>
          <w:sz w:val="28"/>
          <w:szCs w:val="28"/>
        </w:rPr>
      </w:pPr>
      <w:r w:rsidRPr="00616F85">
        <w:rPr>
          <w:rFonts w:ascii="Times New Roman" w:hAnsi="Times New Roman" w:cs="Times New Roman"/>
          <w:sz w:val="28"/>
          <w:szCs w:val="28"/>
        </w:rPr>
        <w:t>In sum, have you done all that is required to bring the case to a point where it may be tried?</w:t>
      </w:r>
      <w:r w:rsidR="00851D53" w:rsidRPr="00616F85">
        <w:rPr>
          <w:rFonts w:ascii="Times New Roman" w:hAnsi="Times New Roman" w:cs="Times New Roman"/>
          <w:sz w:val="28"/>
          <w:szCs w:val="28"/>
        </w:rPr>
        <w:t xml:space="preserve"> </w:t>
      </w:r>
      <w:r w:rsidRPr="00616F85">
        <w:rPr>
          <w:rStyle w:val="EndnoteReference"/>
          <w:rFonts w:ascii="Times New Roman" w:hAnsi="Times New Roman" w:cs="Times New Roman"/>
          <w:sz w:val="28"/>
          <w:szCs w:val="28"/>
        </w:rPr>
        <w:endnoteReference w:id="8"/>
      </w:r>
    </w:p>
    <w:p w14:paraId="477D3E9B" w14:textId="77777777" w:rsidR="003762F6" w:rsidRPr="00616F85" w:rsidRDefault="003762F6" w:rsidP="003762F6">
      <w:pPr>
        <w:pStyle w:val="ListParagraph"/>
        <w:rPr>
          <w:rFonts w:ascii="Times New Roman" w:hAnsi="Times New Roman" w:cs="Times New Roman"/>
          <w:sz w:val="28"/>
          <w:szCs w:val="28"/>
        </w:rPr>
      </w:pPr>
    </w:p>
    <w:p w14:paraId="5CE1C64F" w14:textId="77777777" w:rsidR="007C5323" w:rsidRPr="00376FA6" w:rsidRDefault="007C5323" w:rsidP="00376FA6">
      <w:pPr>
        <w:rPr>
          <w:rFonts w:ascii="Times New Roman" w:hAnsi="Times New Roman" w:cs="Times New Roman"/>
          <w:sz w:val="28"/>
          <w:szCs w:val="28"/>
        </w:rPr>
      </w:pPr>
    </w:p>
    <w:p w14:paraId="7786D61B" w14:textId="53A29F3D" w:rsidR="00737C08" w:rsidRPr="00376FA6" w:rsidRDefault="007C5323" w:rsidP="00737C08">
      <w:pPr>
        <w:pStyle w:val="ListParagraph"/>
        <w:ind w:left="-720" w:firstLine="720"/>
        <w:jc w:val="both"/>
        <w:rPr>
          <w:rFonts w:ascii="Times New Roman" w:hAnsi="Times New Roman" w:cs="Times New Roman"/>
          <w:b/>
          <w:bCs/>
          <w:sz w:val="28"/>
          <w:szCs w:val="28"/>
        </w:rPr>
      </w:pPr>
      <w:r w:rsidRPr="00376FA6">
        <w:rPr>
          <w:rFonts w:ascii="Times New Roman" w:hAnsi="Times New Roman" w:cs="Times New Roman"/>
          <w:b/>
          <w:bCs/>
          <w:sz w:val="28"/>
          <w:szCs w:val="28"/>
        </w:rPr>
        <w:lastRenderedPageBreak/>
        <w:t>TO DEFENSE COUNSEL:</w:t>
      </w:r>
      <w:r w:rsidR="00737C08" w:rsidRPr="00376FA6">
        <w:rPr>
          <w:rFonts w:ascii="Times New Roman" w:hAnsi="Times New Roman" w:cs="Times New Roman"/>
          <w:b/>
          <w:bCs/>
          <w:sz w:val="28"/>
          <w:szCs w:val="28"/>
        </w:rPr>
        <w:t xml:space="preserve"> </w:t>
      </w:r>
    </w:p>
    <w:p w14:paraId="1BB64B19" w14:textId="77777777" w:rsidR="00745D84" w:rsidRPr="00616F85" w:rsidRDefault="00745D84" w:rsidP="00737C08">
      <w:pPr>
        <w:pStyle w:val="ListParagraph"/>
        <w:ind w:left="-720" w:firstLine="720"/>
        <w:jc w:val="both"/>
        <w:rPr>
          <w:rFonts w:ascii="Times New Roman" w:hAnsi="Times New Roman" w:cs="Times New Roman"/>
          <w:sz w:val="28"/>
          <w:szCs w:val="28"/>
        </w:rPr>
      </w:pPr>
    </w:p>
    <w:p w14:paraId="20C3D036" w14:textId="7DDE5FA7" w:rsidR="00737C08" w:rsidRPr="00616F85" w:rsidRDefault="0038228C" w:rsidP="0038228C">
      <w:pPr>
        <w:pStyle w:val="ListParagraph"/>
        <w:numPr>
          <w:ilvl w:val="0"/>
          <w:numId w:val="8"/>
        </w:numPr>
        <w:jc w:val="both"/>
        <w:rPr>
          <w:rFonts w:ascii="Times New Roman" w:hAnsi="Times New Roman" w:cs="Times New Roman"/>
          <w:sz w:val="28"/>
          <w:szCs w:val="28"/>
        </w:rPr>
      </w:pPr>
      <w:r w:rsidRPr="00616F85">
        <w:rPr>
          <w:rFonts w:ascii="Times New Roman" w:hAnsi="Times New Roman" w:cs="Times New Roman"/>
          <w:sz w:val="28"/>
          <w:szCs w:val="28"/>
        </w:rPr>
        <w:t>Have you received the certificate of compliance?</w:t>
      </w:r>
    </w:p>
    <w:p w14:paraId="57089841" w14:textId="77777777" w:rsidR="00342B0B" w:rsidRPr="00616F85" w:rsidRDefault="00342B0B" w:rsidP="00342B0B">
      <w:pPr>
        <w:pStyle w:val="ListParagraph"/>
        <w:ind w:left="730"/>
        <w:jc w:val="both"/>
        <w:rPr>
          <w:rFonts w:ascii="Times New Roman" w:hAnsi="Times New Roman" w:cs="Times New Roman"/>
          <w:sz w:val="28"/>
          <w:szCs w:val="28"/>
        </w:rPr>
      </w:pPr>
    </w:p>
    <w:p w14:paraId="7BB3CE3F" w14:textId="77777777" w:rsidR="0038228C" w:rsidRPr="00616F85" w:rsidRDefault="0038228C" w:rsidP="0038228C">
      <w:pPr>
        <w:pStyle w:val="ListParagraph"/>
        <w:numPr>
          <w:ilvl w:val="0"/>
          <w:numId w:val="8"/>
        </w:numPr>
        <w:jc w:val="both"/>
        <w:rPr>
          <w:rFonts w:ascii="Times New Roman" w:hAnsi="Times New Roman" w:cs="Times New Roman"/>
          <w:sz w:val="28"/>
          <w:szCs w:val="28"/>
        </w:rPr>
      </w:pPr>
      <w:r w:rsidRPr="00616F85">
        <w:rPr>
          <w:rFonts w:ascii="Times New Roman" w:hAnsi="Times New Roman" w:cs="Times New Roman"/>
          <w:sz w:val="28"/>
          <w:szCs w:val="28"/>
        </w:rPr>
        <w:t>Does the defense wish to be heard as to whether the disclosure requirements of CPL 245.20 have been met?</w:t>
      </w:r>
      <w:r w:rsidRPr="00616F85">
        <w:rPr>
          <w:rStyle w:val="EndnoteReference"/>
          <w:rFonts w:ascii="Times New Roman" w:hAnsi="Times New Roman" w:cs="Times New Roman"/>
          <w:sz w:val="28"/>
          <w:szCs w:val="28"/>
        </w:rPr>
        <w:t xml:space="preserve"> </w:t>
      </w:r>
      <w:r w:rsidRPr="00616F85">
        <w:rPr>
          <w:rStyle w:val="EndnoteReference"/>
          <w:rFonts w:ascii="Times New Roman" w:hAnsi="Times New Roman" w:cs="Times New Roman"/>
          <w:sz w:val="28"/>
          <w:szCs w:val="28"/>
        </w:rPr>
        <w:endnoteReference w:id="9"/>
      </w:r>
      <w:r w:rsidRPr="00616F85">
        <w:rPr>
          <w:rFonts w:ascii="Times New Roman" w:hAnsi="Times New Roman" w:cs="Times New Roman"/>
          <w:sz w:val="28"/>
          <w:szCs w:val="28"/>
        </w:rPr>
        <w:t xml:space="preserve"> </w:t>
      </w:r>
    </w:p>
    <w:p w14:paraId="7E5DFDB7" w14:textId="77777777" w:rsidR="007C5323" w:rsidRPr="00616F85" w:rsidRDefault="007C5323" w:rsidP="007C5323">
      <w:pPr>
        <w:pStyle w:val="ListParagraph"/>
        <w:rPr>
          <w:rFonts w:ascii="Times New Roman" w:hAnsi="Times New Roman" w:cs="Times New Roman"/>
          <w:sz w:val="28"/>
          <w:szCs w:val="28"/>
        </w:rPr>
      </w:pPr>
    </w:p>
    <w:p w14:paraId="76DB53E2" w14:textId="4C3F2A44" w:rsidR="007C5323" w:rsidRPr="00616F85" w:rsidRDefault="00934A3D" w:rsidP="007C5323">
      <w:pPr>
        <w:pStyle w:val="ListParagraph"/>
        <w:jc w:val="both"/>
        <w:rPr>
          <w:rFonts w:ascii="Times New Roman" w:hAnsi="Times New Roman" w:cs="Times New Roman"/>
          <w:sz w:val="28"/>
          <w:szCs w:val="28"/>
        </w:rPr>
      </w:pPr>
      <w:r w:rsidRPr="00616F85">
        <w:rPr>
          <w:rFonts w:ascii="Times New Roman" w:hAnsi="Times New Roman" w:cs="Times New Roman"/>
          <w:i/>
          <w:iCs/>
          <w:sz w:val="28"/>
          <w:szCs w:val="28"/>
        </w:rPr>
        <w:t>Add i</w:t>
      </w:r>
      <w:r w:rsidR="007C5323" w:rsidRPr="00616F85">
        <w:rPr>
          <w:rFonts w:ascii="Times New Roman" w:hAnsi="Times New Roman" w:cs="Times New Roman"/>
          <w:i/>
          <w:iCs/>
          <w:sz w:val="28"/>
          <w:szCs w:val="28"/>
        </w:rPr>
        <w:t>f questions have been raised and not readily resolvable</w:t>
      </w:r>
      <w:r w:rsidR="007C5323" w:rsidRPr="00616F85">
        <w:rPr>
          <w:rFonts w:ascii="Times New Roman" w:hAnsi="Times New Roman" w:cs="Times New Roman"/>
          <w:sz w:val="28"/>
          <w:szCs w:val="28"/>
        </w:rPr>
        <w:t xml:space="preserve">: </w:t>
      </w:r>
    </w:p>
    <w:p w14:paraId="572DEF6C" w14:textId="190B142C" w:rsidR="007C5323" w:rsidRPr="00616F85" w:rsidRDefault="007C5323" w:rsidP="007C5323">
      <w:pPr>
        <w:pStyle w:val="ListParagraph"/>
        <w:jc w:val="both"/>
        <w:rPr>
          <w:rFonts w:ascii="Times New Roman" w:hAnsi="Times New Roman" w:cs="Times New Roman"/>
          <w:sz w:val="28"/>
          <w:szCs w:val="28"/>
        </w:rPr>
      </w:pPr>
      <w:r w:rsidRPr="00616F85">
        <w:rPr>
          <w:rFonts w:ascii="Times New Roman" w:hAnsi="Times New Roman" w:cs="Times New Roman"/>
          <w:sz w:val="28"/>
          <w:szCs w:val="28"/>
        </w:rPr>
        <w:t>Given the questions you have raise with respect to the certificate, you should, as the statute requires [CPL 245.50(5)</w:t>
      </w:r>
      <w:r w:rsidR="00192AC0" w:rsidRPr="00616F85">
        <w:rPr>
          <w:rFonts w:ascii="Times New Roman" w:hAnsi="Times New Roman" w:cs="Times New Roman"/>
          <w:sz w:val="28"/>
          <w:szCs w:val="28"/>
        </w:rPr>
        <w:t xml:space="preserve"> </w:t>
      </w:r>
      <w:r w:rsidR="00192AC0" w:rsidRPr="00616F85">
        <w:rPr>
          <w:rStyle w:val="EndnoteReference"/>
          <w:rFonts w:ascii="Times New Roman" w:hAnsi="Times New Roman" w:cs="Times New Roman"/>
          <w:sz w:val="28"/>
          <w:szCs w:val="28"/>
        </w:rPr>
        <w:endnoteReference w:id="10"/>
      </w:r>
      <w:r w:rsidRPr="00616F85">
        <w:rPr>
          <w:rFonts w:ascii="Times New Roman" w:hAnsi="Times New Roman" w:cs="Times New Roman"/>
          <w:sz w:val="28"/>
          <w:szCs w:val="28"/>
        </w:rPr>
        <w:t>], address them in a motion.</w:t>
      </w:r>
    </w:p>
    <w:p w14:paraId="1846F8D9" w14:textId="77777777" w:rsidR="007C5323" w:rsidRPr="00616F85" w:rsidRDefault="007C5323" w:rsidP="007C5323">
      <w:pPr>
        <w:pStyle w:val="ListParagraph"/>
        <w:jc w:val="both"/>
        <w:rPr>
          <w:rFonts w:ascii="Times New Roman" w:hAnsi="Times New Roman" w:cs="Times New Roman"/>
          <w:sz w:val="28"/>
          <w:szCs w:val="28"/>
        </w:rPr>
      </w:pPr>
    </w:p>
    <w:p w14:paraId="75C564E9" w14:textId="3B1DE393" w:rsidR="007C5323" w:rsidRPr="00616F85" w:rsidRDefault="006B5575" w:rsidP="007C5323">
      <w:pPr>
        <w:pStyle w:val="ListParagraph"/>
        <w:jc w:val="both"/>
        <w:rPr>
          <w:rFonts w:ascii="Times New Roman" w:hAnsi="Times New Roman" w:cs="Times New Roman"/>
          <w:sz w:val="28"/>
          <w:szCs w:val="28"/>
        </w:rPr>
      </w:pPr>
      <w:r w:rsidRPr="00616F85">
        <w:rPr>
          <w:rFonts w:ascii="Times New Roman" w:hAnsi="Times New Roman" w:cs="Times New Roman"/>
          <w:i/>
          <w:iCs/>
          <w:sz w:val="28"/>
          <w:szCs w:val="28"/>
        </w:rPr>
        <w:t>Add a</w:t>
      </w:r>
      <w:r w:rsidR="007C5323" w:rsidRPr="00616F85">
        <w:rPr>
          <w:rFonts w:ascii="Times New Roman" w:hAnsi="Times New Roman" w:cs="Times New Roman"/>
          <w:i/>
          <w:iCs/>
          <w:sz w:val="28"/>
          <w:szCs w:val="28"/>
        </w:rPr>
        <w:t>s may be advisable</w:t>
      </w:r>
      <w:r w:rsidR="007C5323" w:rsidRPr="00616F85">
        <w:rPr>
          <w:rFonts w:ascii="Times New Roman" w:hAnsi="Times New Roman" w:cs="Times New Roman"/>
          <w:sz w:val="28"/>
          <w:szCs w:val="28"/>
        </w:rPr>
        <w:t xml:space="preserve">: </w:t>
      </w:r>
    </w:p>
    <w:p w14:paraId="30BD34CF" w14:textId="77777777" w:rsidR="007C5323" w:rsidRPr="00616F85" w:rsidRDefault="007C5323" w:rsidP="007C5323">
      <w:pPr>
        <w:pStyle w:val="ListParagraph"/>
        <w:jc w:val="both"/>
        <w:rPr>
          <w:rFonts w:ascii="Times New Roman" w:hAnsi="Times New Roman" w:cs="Times New Roman"/>
          <w:i/>
          <w:iCs/>
          <w:sz w:val="28"/>
          <w:szCs w:val="28"/>
        </w:rPr>
      </w:pPr>
      <w:r w:rsidRPr="00616F85">
        <w:rPr>
          <w:rFonts w:ascii="Times New Roman" w:hAnsi="Times New Roman" w:cs="Times New Roman"/>
          <w:sz w:val="28"/>
          <w:szCs w:val="28"/>
        </w:rPr>
        <w:t>Before filing the motion, however, you and the assistant should have a conference to see if the questions may be resolved.</w:t>
      </w:r>
    </w:p>
    <w:p w14:paraId="4CD1EEA0" w14:textId="77777777" w:rsidR="005D7C9E" w:rsidRPr="00616F85" w:rsidRDefault="005D7C9E" w:rsidP="007B254B">
      <w:pPr>
        <w:pStyle w:val="ListParagraph"/>
        <w:rPr>
          <w:rFonts w:ascii="Times New Roman" w:hAnsi="Times New Roman" w:cs="Times New Roman"/>
          <w:sz w:val="26"/>
          <w:szCs w:val="26"/>
        </w:rPr>
      </w:pPr>
    </w:p>
    <w:p w14:paraId="7E7F3DBF" w14:textId="4313C96C" w:rsidR="00BA7613" w:rsidRPr="00616F85" w:rsidRDefault="005D7C9E" w:rsidP="00263830">
      <w:pPr>
        <w:pStyle w:val="ListParagraph"/>
        <w:ind w:left="0"/>
        <w:jc w:val="both"/>
        <w:rPr>
          <w:rFonts w:ascii="Times New Roman" w:hAnsi="Times New Roman" w:cs="Times New Roman"/>
          <w:i/>
          <w:iCs/>
          <w:sz w:val="24"/>
          <w:szCs w:val="24"/>
        </w:rPr>
      </w:pPr>
      <w:r w:rsidRPr="00616F85">
        <w:rPr>
          <w:rFonts w:ascii="Times New Roman" w:hAnsi="Times New Roman" w:cs="Times New Roman"/>
          <w:i/>
          <w:iCs/>
          <w:sz w:val="24"/>
          <w:szCs w:val="24"/>
        </w:rPr>
        <w:t xml:space="preserve">Note:  Where “a statement of unreadiness has followed a statement of readiness made by the </w:t>
      </w:r>
      <w:r w:rsidR="008446BB" w:rsidRPr="00616F85">
        <w:rPr>
          <w:rFonts w:ascii="Times New Roman" w:hAnsi="Times New Roman" w:cs="Times New Roman"/>
          <w:i/>
          <w:iCs/>
          <w:sz w:val="24"/>
          <w:szCs w:val="24"/>
        </w:rPr>
        <w:t>[P]</w:t>
      </w:r>
      <w:r w:rsidRPr="00616F85">
        <w:rPr>
          <w:rFonts w:ascii="Times New Roman" w:hAnsi="Times New Roman" w:cs="Times New Roman"/>
          <w:i/>
          <w:iCs/>
          <w:sz w:val="24"/>
          <w:szCs w:val="24"/>
        </w:rPr>
        <w:t>eople,” and the People claim that the period of unreadiness should be excluded because it is caused by “exceptional circumstances,” the claim “must be evaluated by the court after inquiry on the record as to the reasons for the people's unreadiness and shall only be approved upon a showing of sufficient supporting facts.”</w:t>
      </w:r>
      <w:r w:rsidR="00DF34EE" w:rsidRPr="00616F85">
        <w:rPr>
          <w:rFonts w:ascii="Times New Roman" w:hAnsi="Times New Roman" w:cs="Times New Roman"/>
          <w:i/>
          <w:iCs/>
          <w:sz w:val="24"/>
          <w:szCs w:val="24"/>
        </w:rPr>
        <w:t xml:space="preserve"> </w:t>
      </w:r>
      <w:r w:rsidRPr="00616F85">
        <w:rPr>
          <w:rStyle w:val="EndnoteReference"/>
          <w:rFonts w:ascii="Times New Roman" w:hAnsi="Times New Roman" w:cs="Times New Roman"/>
          <w:i/>
          <w:iCs/>
          <w:sz w:val="24"/>
          <w:szCs w:val="24"/>
        </w:rPr>
        <w:endnoteReference w:id="11"/>
      </w:r>
      <w:r w:rsidRPr="00616F85">
        <w:rPr>
          <w:rFonts w:ascii="Times New Roman" w:hAnsi="Times New Roman" w:cs="Times New Roman"/>
          <w:i/>
          <w:iCs/>
          <w:sz w:val="24"/>
          <w:szCs w:val="24"/>
        </w:rPr>
        <w:t xml:space="preserve"> </w:t>
      </w:r>
    </w:p>
    <w:p w14:paraId="2183071B" w14:textId="77777777" w:rsidR="00BF1B3D" w:rsidRPr="00616F85" w:rsidRDefault="00BF1B3D" w:rsidP="00263830">
      <w:pPr>
        <w:pStyle w:val="ListParagraph"/>
        <w:ind w:left="0"/>
        <w:jc w:val="both"/>
        <w:rPr>
          <w:rFonts w:ascii="Times New Roman" w:hAnsi="Times New Roman" w:cs="Times New Roman"/>
          <w:i/>
          <w:iCs/>
          <w:sz w:val="26"/>
          <w:szCs w:val="26"/>
        </w:rPr>
      </w:pPr>
    </w:p>
    <w:sectPr w:rsidR="00BF1B3D" w:rsidRPr="00616F85" w:rsidSect="00776FB3">
      <w:endnotePr>
        <w:numFmt w:val="decimal"/>
      </w:endnotePr>
      <w:pgSz w:w="12240" w:h="15840"/>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A131D" w14:textId="77777777" w:rsidR="004F2577" w:rsidRDefault="004F2577" w:rsidP="00D97E69">
      <w:pPr>
        <w:spacing w:after="0" w:line="240" w:lineRule="auto"/>
      </w:pPr>
      <w:r>
        <w:separator/>
      </w:r>
    </w:p>
  </w:endnote>
  <w:endnote w:type="continuationSeparator" w:id="0">
    <w:p w14:paraId="6EE8AD09" w14:textId="77777777" w:rsidR="004F2577" w:rsidRDefault="004F2577" w:rsidP="00D97E69">
      <w:pPr>
        <w:spacing w:after="0" w:line="240" w:lineRule="auto"/>
      </w:pPr>
      <w:r>
        <w:continuationSeparator/>
      </w:r>
    </w:p>
  </w:endnote>
  <w:endnote w:id="1">
    <w:p w14:paraId="497F00D5" w14:textId="5EE52350" w:rsidR="0082088A" w:rsidRPr="001A45A8" w:rsidRDefault="00323477" w:rsidP="00A63B6A">
      <w:pPr>
        <w:pStyle w:val="EndnoteText"/>
        <w:jc w:val="both"/>
        <w:rPr>
          <w:rFonts w:ascii="Times New Roman" w:hAnsi="Times New Roman" w:cs="Times New Roman"/>
          <w:sz w:val="24"/>
          <w:szCs w:val="24"/>
        </w:rPr>
      </w:pPr>
      <w:r w:rsidRPr="001A45A8">
        <w:rPr>
          <w:rStyle w:val="EndnoteReference"/>
          <w:rFonts w:ascii="Times New Roman" w:hAnsi="Times New Roman" w:cs="Times New Roman"/>
          <w:sz w:val="24"/>
          <w:szCs w:val="24"/>
        </w:rPr>
        <w:endnoteRef/>
      </w:r>
      <w:r w:rsidRPr="001A45A8">
        <w:rPr>
          <w:rFonts w:ascii="Times New Roman" w:hAnsi="Times New Roman" w:cs="Times New Roman"/>
          <w:sz w:val="24"/>
          <w:szCs w:val="24"/>
        </w:rPr>
        <w:t xml:space="preserve"> </w:t>
      </w:r>
      <w:r w:rsidR="00C54ADE" w:rsidRPr="001A45A8">
        <w:rPr>
          <w:rFonts w:ascii="Times New Roman" w:hAnsi="Times New Roman" w:cs="Times New Roman"/>
          <w:sz w:val="24"/>
          <w:szCs w:val="24"/>
        </w:rPr>
        <w:t xml:space="preserve">  The revision was for the purpose of incorporating</w:t>
      </w:r>
      <w:r w:rsidR="006E5E99" w:rsidRPr="001A45A8">
        <w:rPr>
          <w:rFonts w:ascii="Times New Roman" w:hAnsi="Times New Roman" w:cs="Times New Roman"/>
          <w:sz w:val="24"/>
          <w:szCs w:val="24"/>
        </w:rPr>
        <w:t xml:space="preserve"> </w:t>
      </w:r>
      <w:r w:rsidR="00C54ADE" w:rsidRPr="001A45A8">
        <w:rPr>
          <w:rFonts w:ascii="Times New Roman" w:hAnsi="Times New Roman" w:cs="Times New Roman"/>
          <w:sz w:val="24"/>
          <w:szCs w:val="24"/>
        </w:rPr>
        <w:t>amendment</w:t>
      </w:r>
      <w:r w:rsidR="001A2758" w:rsidRPr="001A45A8">
        <w:rPr>
          <w:rFonts w:ascii="Times New Roman" w:hAnsi="Times New Roman" w:cs="Times New Roman"/>
          <w:sz w:val="24"/>
          <w:szCs w:val="24"/>
        </w:rPr>
        <w:t>s</w:t>
      </w:r>
      <w:r w:rsidR="00C54ADE" w:rsidRPr="001A45A8">
        <w:rPr>
          <w:rFonts w:ascii="Times New Roman" w:hAnsi="Times New Roman" w:cs="Times New Roman"/>
          <w:sz w:val="24"/>
          <w:szCs w:val="24"/>
        </w:rPr>
        <w:t xml:space="preserve"> to </w:t>
      </w:r>
      <w:bookmarkStart w:id="0" w:name="_Hlk37707494"/>
      <w:r w:rsidR="00C54ADE" w:rsidRPr="001A45A8">
        <w:rPr>
          <w:rFonts w:ascii="Times New Roman" w:hAnsi="Times New Roman" w:cs="Times New Roman"/>
          <w:sz w:val="24"/>
          <w:szCs w:val="24"/>
        </w:rPr>
        <w:t xml:space="preserve">CPL 245.50 </w:t>
      </w:r>
      <w:r w:rsidR="00156E00" w:rsidRPr="001A45A8">
        <w:rPr>
          <w:rFonts w:ascii="Times New Roman" w:hAnsi="Times New Roman" w:cs="Times New Roman"/>
          <w:sz w:val="24"/>
          <w:szCs w:val="24"/>
        </w:rPr>
        <w:t>[</w:t>
      </w:r>
      <w:r w:rsidR="00C54ADE" w:rsidRPr="001A45A8">
        <w:rPr>
          <w:rFonts w:ascii="Times New Roman" w:hAnsi="Times New Roman" w:cs="Times New Roman"/>
          <w:sz w:val="24"/>
          <w:szCs w:val="24"/>
        </w:rPr>
        <w:t xml:space="preserve">L. 2020, c. </w:t>
      </w:r>
      <w:r w:rsidR="0081287E" w:rsidRPr="001A45A8">
        <w:rPr>
          <w:rFonts w:ascii="Times New Roman" w:hAnsi="Times New Roman" w:cs="Times New Roman"/>
          <w:sz w:val="24"/>
          <w:szCs w:val="24"/>
        </w:rPr>
        <w:t>56, Part H</w:t>
      </w:r>
      <w:r w:rsidR="00E679EE" w:rsidRPr="001A45A8">
        <w:rPr>
          <w:rFonts w:ascii="Times New Roman" w:hAnsi="Times New Roman" w:cs="Times New Roman"/>
          <w:sz w:val="24"/>
          <w:szCs w:val="24"/>
        </w:rPr>
        <w:t>H</w:t>
      </w:r>
      <w:r w:rsidR="0081287E" w:rsidRPr="001A45A8">
        <w:rPr>
          <w:rFonts w:ascii="Times New Roman" w:hAnsi="Times New Roman" w:cs="Times New Roman"/>
          <w:sz w:val="24"/>
          <w:szCs w:val="24"/>
        </w:rPr>
        <w:t>H</w:t>
      </w:r>
      <w:r w:rsidR="00CE0A4F" w:rsidRPr="001A45A8">
        <w:rPr>
          <w:rFonts w:ascii="Times New Roman" w:hAnsi="Times New Roman" w:cs="Times New Roman"/>
          <w:sz w:val="24"/>
          <w:szCs w:val="24"/>
        </w:rPr>
        <w:t xml:space="preserve">, effective </w:t>
      </w:r>
      <w:r w:rsidR="003620A1">
        <w:rPr>
          <w:rFonts w:ascii="Times New Roman" w:hAnsi="Times New Roman" w:cs="Times New Roman"/>
          <w:sz w:val="24"/>
          <w:szCs w:val="24"/>
        </w:rPr>
        <w:t>May 3</w:t>
      </w:r>
      <w:r w:rsidR="00CE0A4F" w:rsidRPr="001A45A8">
        <w:rPr>
          <w:rFonts w:ascii="Times New Roman" w:hAnsi="Times New Roman" w:cs="Times New Roman"/>
          <w:sz w:val="24"/>
          <w:szCs w:val="24"/>
        </w:rPr>
        <w:t>, 2020</w:t>
      </w:r>
      <w:r w:rsidR="00D678DD" w:rsidRPr="001A45A8">
        <w:rPr>
          <w:rFonts w:ascii="Times New Roman" w:hAnsi="Times New Roman" w:cs="Times New Roman"/>
          <w:sz w:val="24"/>
          <w:szCs w:val="24"/>
        </w:rPr>
        <w:t>]</w:t>
      </w:r>
      <w:r w:rsidR="00AF36E0" w:rsidRPr="001A45A8">
        <w:rPr>
          <w:rFonts w:ascii="Times New Roman" w:hAnsi="Times New Roman" w:cs="Times New Roman"/>
          <w:sz w:val="24"/>
          <w:szCs w:val="24"/>
        </w:rPr>
        <w:t xml:space="preserve"> that </w:t>
      </w:r>
      <w:r w:rsidR="001A2758" w:rsidRPr="001A45A8">
        <w:rPr>
          <w:rFonts w:ascii="Times New Roman" w:hAnsi="Times New Roman" w:cs="Times New Roman"/>
          <w:sz w:val="24"/>
          <w:szCs w:val="24"/>
        </w:rPr>
        <w:t>[</w:t>
      </w:r>
      <w:r w:rsidR="00601217" w:rsidRPr="001A45A8">
        <w:rPr>
          <w:rFonts w:ascii="Times New Roman" w:hAnsi="Times New Roman" w:cs="Times New Roman"/>
          <w:sz w:val="24"/>
          <w:szCs w:val="24"/>
        </w:rPr>
        <w:t>1</w:t>
      </w:r>
      <w:r w:rsidR="006A52A7">
        <w:rPr>
          <w:rFonts w:ascii="Times New Roman" w:hAnsi="Times New Roman" w:cs="Times New Roman"/>
          <w:sz w:val="24"/>
          <w:szCs w:val="24"/>
        </w:rPr>
        <w:t>]</w:t>
      </w:r>
      <w:r w:rsidR="00601217" w:rsidRPr="001A45A8">
        <w:rPr>
          <w:rFonts w:ascii="Times New Roman" w:hAnsi="Times New Roman" w:cs="Times New Roman"/>
          <w:sz w:val="24"/>
          <w:szCs w:val="24"/>
        </w:rPr>
        <w:t xml:space="preserve"> </w:t>
      </w:r>
      <w:r w:rsidR="00AE39D4" w:rsidRPr="001A45A8">
        <w:rPr>
          <w:rFonts w:ascii="Times New Roman" w:hAnsi="Times New Roman" w:cs="Times New Roman"/>
          <w:sz w:val="24"/>
          <w:szCs w:val="24"/>
        </w:rPr>
        <w:t>amended subdivision (3) by deleting</w:t>
      </w:r>
      <w:r w:rsidR="00601217" w:rsidRPr="001A45A8">
        <w:rPr>
          <w:rFonts w:ascii="Times New Roman" w:hAnsi="Times New Roman" w:cs="Times New Roman"/>
          <w:sz w:val="24"/>
          <w:szCs w:val="24"/>
        </w:rPr>
        <w:t xml:space="preserve"> “exceptional</w:t>
      </w:r>
      <w:r w:rsidR="001C26A3" w:rsidRPr="001A45A8">
        <w:rPr>
          <w:rFonts w:ascii="Times New Roman" w:hAnsi="Times New Roman" w:cs="Times New Roman"/>
          <w:sz w:val="24"/>
          <w:szCs w:val="24"/>
        </w:rPr>
        <w:t xml:space="preserve"> </w:t>
      </w:r>
      <w:r w:rsidR="00601217" w:rsidRPr="001A45A8">
        <w:rPr>
          <w:rFonts w:ascii="Times New Roman" w:hAnsi="Times New Roman" w:cs="Times New Roman"/>
          <w:sz w:val="24"/>
          <w:szCs w:val="24"/>
        </w:rPr>
        <w:t>circumstances</w:t>
      </w:r>
      <w:r w:rsidR="008B6371" w:rsidRPr="001A45A8">
        <w:rPr>
          <w:rFonts w:ascii="Times New Roman" w:hAnsi="Times New Roman" w:cs="Times New Roman"/>
          <w:sz w:val="24"/>
          <w:szCs w:val="24"/>
        </w:rPr>
        <w:t>” and substitut</w:t>
      </w:r>
      <w:r w:rsidR="00B51A19" w:rsidRPr="001A45A8">
        <w:rPr>
          <w:rFonts w:ascii="Times New Roman" w:hAnsi="Times New Roman" w:cs="Times New Roman"/>
          <w:sz w:val="24"/>
          <w:szCs w:val="24"/>
        </w:rPr>
        <w:t xml:space="preserve">ing </w:t>
      </w:r>
      <w:r w:rsidR="008B6371" w:rsidRPr="001A45A8">
        <w:rPr>
          <w:rFonts w:ascii="Times New Roman" w:hAnsi="Times New Roman" w:cs="Times New Roman"/>
          <w:sz w:val="24"/>
          <w:szCs w:val="24"/>
        </w:rPr>
        <w:t>“special circumstance</w:t>
      </w:r>
      <w:r w:rsidR="006E5E99" w:rsidRPr="001A45A8">
        <w:rPr>
          <w:rFonts w:ascii="Times New Roman" w:hAnsi="Times New Roman" w:cs="Times New Roman"/>
          <w:sz w:val="24"/>
          <w:szCs w:val="24"/>
        </w:rPr>
        <w:t>s</w:t>
      </w:r>
      <w:r w:rsidR="008B6371" w:rsidRPr="001A45A8">
        <w:rPr>
          <w:rFonts w:ascii="Times New Roman" w:hAnsi="Times New Roman" w:cs="Times New Roman"/>
          <w:sz w:val="24"/>
          <w:szCs w:val="24"/>
        </w:rPr>
        <w:t xml:space="preserve"> in th</w:t>
      </w:r>
      <w:r w:rsidR="006E5E99" w:rsidRPr="001A45A8">
        <w:rPr>
          <w:rFonts w:ascii="Times New Roman" w:hAnsi="Times New Roman" w:cs="Times New Roman"/>
          <w:sz w:val="24"/>
          <w:szCs w:val="24"/>
        </w:rPr>
        <w:t>e</w:t>
      </w:r>
      <w:r w:rsidR="008B6371" w:rsidRPr="001A45A8">
        <w:rPr>
          <w:rFonts w:ascii="Times New Roman" w:hAnsi="Times New Roman" w:cs="Times New Roman"/>
          <w:sz w:val="24"/>
          <w:szCs w:val="24"/>
        </w:rPr>
        <w:t xml:space="preserve"> instant case</w:t>
      </w:r>
      <w:r w:rsidR="00B51A19" w:rsidRPr="001A45A8">
        <w:rPr>
          <w:rFonts w:ascii="Times New Roman" w:hAnsi="Times New Roman" w:cs="Times New Roman"/>
          <w:sz w:val="24"/>
          <w:szCs w:val="24"/>
        </w:rPr>
        <w:t>”</w:t>
      </w:r>
      <w:r w:rsidR="008B6371" w:rsidRPr="001A45A8">
        <w:rPr>
          <w:rFonts w:ascii="Times New Roman" w:hAnsi="Times New Roman" w:cs="Times New Roman"/>
          <w:sz w:val="24"/>
          <w:szCs w:val="24"/>
        </w:rPr>
        <w:t xml:space="preserve">; and [2] </w:t>
      </w:r>
      <w:r w:rsidR="00AF36E0" w:rsidRPr="001A45A8">
        <w:rPr>
          <w:rFonts w:ascii="Times New Roman" w:hAnsi="Times New Roman" w:cs="Times New Roman"/>
          <w:sz w:val="24"/>
          <w:szCs w:val="24"/>
        </w:rPr>
        <w:t>added</w:t>
      </w:r>
      <w:r w:rsidR="00A02AFA" w:rsidRPr="001A45A8">
        <w:rPr>
          <w:rFonts w:ascii="Times New Roman" w:hAnsi="Times New Roman" w:cs="Times New Roman"/>
          <w:sz w:val="24"/>
          <w:szCs w:val="24"/>
        </w:rPr>
        <w:t xml:space="preserve"> a subdivision (4)</w:t>
      </w:r>
      <w:r w:rsidR="00D678DD" w:rsidRPr="001A45A8">
        <w:rPr>
          <w:rFonts w:ascii="Times New Roman" w:hAnsi="Times New Roman" w:cs="Times New Roman"/>
          <w:sz w:val="24"/>
          <w:szCs w:val="24"/>
        </w:rPr>
        <w:t xml:space="preserve"> to that statute to state:</w:t>
      </w:r>
      <w:r w:rsidR="0093061D" w:rsidRPr="001A45A8">
        <w:rPr>
          <w:rFonts w:ascii="Times New Roman" w:hAnsi="Times New Roman" w:cs="Times New Roman"/>
          <w:sz w:val="24"/>
          <w:szCs w:val="24"/>
        </w:rPr>
        <w:t xml:space="preserve"> </w:t>
      </w:r>
      <w:bookmarkStart w:id="1" w:name="_Hlk37768172"/>
      <w:r w:rsidR="00A02AFA" w:rsidRPr="001A45A8">
        <w:rPr>
          <w:rFonts w:ascii="Times New Roman" w:hAnsi="Times New Roman" w:cs="Times New Roman"/>
          <w:sz w:val="24"/>
          <w:szCs w:val="24"/>
        </w:rPr>
        <w:t>“</w:t>
      </w:r>
      <w:r w:rsidR="0082088A" w:rsidRPr="001A45A8">
        <w:rPr>
          <w:rFonts w:ascii="Times New Roman" w:hAnsi="Times New Roman" w:cs="Times New Roman"/>
          <w:sz w:val="24"/>
          <w:szCs w:val="24"/>
          <w:lang w:val="x-none"/>
        </w:rPr>
        <w:t>Challenges to, or questions related to a certificate of compliance</w:t>
      </w:r>
      <w:r w:rsidR="00A02AFA" w:rsidRPr="001A45A8">
        <w:rPr>
          <w:rFonts w:ascii="Times New Roman" w:hAnsi="Times New Roman" w:cs="Times New Roman"/>
          <w:sz w:val="24"/>
          <w:szCs w:val="24"/>
        </w:rPr>
        <w:t xml:space="preserve"> </w:t>
      </w:r>
      <w:r w:rsidR="0082088A" w:rsidRPr="001A45A8">
        <w:rPr>
          <w:rFonts w:ascii="Times New Roman" w:hAnsi="Times New Roman" w:cs="Times New Roman"/>
          <w:sz w:val="24"/>
          <w:szCs w:val="24"/>
          <w:lang w:val="x-none"/>
        </w:rPr>
        <w:t>shall be addressed by motion.</w:t>
      </w:r>
      <w:r w:rsidR="00A02AFA" w:rsidRPr="001A45A8">
        <w:rPr>
          <w:rFonts w:ascii="Times New Roman" w:hAnsi="Times New Roman" w:cs="Times New Roman"/>
          <w:sz w:val="24"/>
          <w:szCs w:val="24"/>
        </w:rPr>
        <w:t>”</w:t>
      </w:r>
      <w:bookmarkEnd w:id="1"/>
    </w:p>
    <w:bookmarkEnd w:id="0"/>
    <w:p w14:paraId="17D713E8" w14:textId="77777777" w:rsidR="0081287E" w:rsidRPr="001A45A8" w:rsidRDefault="0081287E">
      <w:pPr>
        <w:pStyle w:val="EndnoteText"/>
        <w:rPr>
          <w:rFonts w:ascii="Times New Roman" w:hAnsi="Times New Roman" w:cs="Times New Roman"/>
          <w:sz w:val="24"/>
          <w:szCs w:val="24"/>
        </w:rPr>
      </w:pPr>
    </w:p>
  </w:endnote>
  <w:endnote w:id="2">
    <w:p w14:paraId="787D8BBC" w14:textId="77777777" w:rsidR="00D87EC6" w:rsidRPr="001A45A8" w:rsidRDefault="00D87EC6" w:rsidP="00D87EC6">
      <w:pPr>
        <w:jc w:val="both"/>
        <w:rPr>
          <w:rFonts w:ascii="Times New Roman" w:hAnsi="Times New Roman" w:cs="Times New Roman"/>
          <w:sz w:val="24"/>
          <w:szCs w:val="24"/>
        </w:rPr>
      </w:pPr>
      <w:r w:rsidRPr="001A45A8">
        <w:rPr>
          <w:rStyle w:val="EndnoteReference"/>
          <w:rFonts w:ascii="Times New Roman" w:hAnsi="Times New Roman" w:cs="Times New Roman"/>
          <w:sz w:val="24"/>
          <w:szCs w:val="24"/>
        </w:rPr>
        <w:endnoteRef/>
      </w:r>
      <w:r w:rsidRPr="001A45A8">
        <w:rPr>
          <w:rFonts w:ascii="Times New Roman" w:hAnsi="Times New Roman" w:cs="Times New Roman"/>
          <w:sz w:val="24"/>
          <w:szCs w:val="24"/>
        </w:rPr>
        <w:t xml:space="preserve"> “Whenever pursuant to this section [CPL 30.30] a prosecutor states or otherwise provides notice that the people are ready for trial, the court shall make inquiry on the record as to their actual readiness. If, after conducting its inquiry, the court determines that the people are not ready to proceed to trial, the prosecutor's statement or notice of readiness shall not be valid for purposes of this section.” CPL 30.30(5).</w:t>
      </w:r>
    </w:p>
  </w:endnote>
  <w:endnote w:id="3">
    <w:p w14:paraId="30FFDFFB" w14:textId="68F53D69" w:rsidR="005D7C9E" w:rsidRPr="001A45A8" w:rsidRDefault="005D7C9E" w:rsidP="00BF1B3D">
      <w:pPr>
        <w:pStyle w:val="EndnoteText"/>
        <w:jc w:val="both"/>
        <w:rPr>
          <w:rFonts w:ascii="Times New Roman" w:hAnsi="Times New Roman" w:cs="Times New Roman"/>
          <w:sz w:val="24"/>
          <w:szCs w:val="24"/>
        </w:rPr>
      </w:pPr>
      <w:r w:rsidRPr="001A45A8">
        <w:rPr>
          <w:rStyle w:val="EndnoteReference"/>
          <w:rFonts w:ascii="Times New Roman" w:hAnsi="Times New Roman" w:cs="Times New Roman"/>
          <w:sz w:val="24"/>
          <w:szCs w:val="24"/>
        </w:rPr>
        <w:endnoteRef/>
      </w:r>
      <w:r w:rsidRPr="001A45A8">
        <w:rPr>
          <w:rFonts w:ascii="Times New Roman" w:hAnsi="Times New Roman" w:cs="Times New Roman"/>
          <w:sz w:val="24"/>
          <w:szCs w:val="24"/>
        </w:rPr>
        <w:t xml:space="preserve">  </w:t>
      </w:r>
      <w:r w:rsidR="00F91964">
        <w:rPr>
          <w:rFonts w:ascii="Times New Roman" w:hAnsi="Times New Roman" w:cs="Times New Roman"/>
          <w:sz w:val="24"/>
          <w:szCs w:val="24"/>
        </w:rPr>
        <w:t>“</w:t>
      </w:r>
      <w:r w:rsidRPr="001A45A8">
        <w:rPr>
          <w:rFonts w:ascii="Times New Roman" w:hAnsi="Times New Roman" w:cs="Times New Roman"/>
          <w:sz w:val="24"/>
          <w:szCs w:val="24"/>
        </w:rPr>
        <w:t>Any statement of trial readiness must be accompanied or preceded by a certification of good faith compliance with the disclosure requirements of section 245.20 of this chapte</w:t>
      </w:r>
      <w:r w:rsidR="00D41C3E">
        <w:rPr>
          <w:rFonts w:ascii="Times New Roman" w:hAnsi="Times New Roman" w:cs="Times New Roman"/>
          <w:sz w:val="24"/>
          <w:szCs w:val="24"/>
        </w:rPr>
        <w:t>r.</w:t>
      </w:r>
      <w:r w:rsidRPr="001A45A8">
        <w:rPr>
          <w:rFonts w:ascii="Times New Roman" w:hAnsi="Times New Roman" w:cs="Times New Roman"/>
          <w:sz w:val="24"/>
          <w:szCs w:val="24"/>
        </w:rPr>
        <w:t>” CPL § 30.30(5)</w:t>
      </w:r>
      <w:r w:rsidR="00817B4B" w:rsidRPr="001A45A8">
        <w:rPr>
          <w:rFonts w:ascii="Times New Roman" w:hAnsi="Times New Roman" w:cs="Times New Roman"/>
          <w:sz w:val="24"/>
          <w:szCs w:val="24"/>
        </w:rPr>
        <w:t xml:space="preserve">. </w:t>
      </w:r>
      <w:r w:rsidRPr="001A45A8">
        <w:rPr>
          <w:rFonts w:ascii="Times New Roman" w:hAnsi="Times New Roman" w:cs="Times New Roman"/>
          <w:sz w:val="24"/>
          <w:szCs w:val="24"/>
        </w:rPr>
        <w:t xml:space="preserve">Note, however, that “[t]his subdivision shall not apply to cases where the defense has waived disclosure requirements.” </w:t>
      </w:r>
      <w:r w:rsidR="00817B4B" w:rsidRPr="00173998">
        <w:rPr>
          <w:rFonts w:ascii="Times New Roman" w:hAnsi="Times New Roman" w:cs="Times New Roman"/>
          <w:i/>
          <w:iCs/>
          <w:sz w:val="24"/>
          <w:szCs w:val="24"/>
        </w:rPr>
        <w:t>Id.</w:t>
      </w:r>
      <w:r w:rsidR="00817B4B" w:rsidRPr="001A45A8">
        <w:rPr>
          <w:rFonts w:ascii="Times New Roman" w:hAnsi="Times New Roman" w:cs="Times New Roman"/>
          <w:sz w:val="24"/>
          <w:szCs w:val="24"/>
        </w:rPr>
        <w:t xml:space="preserve"> </w:t>
      </w:r>
      <w:r w:rsidRPr="001A45A8">
        <w:rPr>
          <w:rFonts w:ascii="Times New Roman" w:hAnsi="Times New Roman" w:cs="Times New Roman"/>
          <w:sz w:val="24"/>
          <w:szCs w:val="24"/>
        </w:rPr>
        <w:t xml:space="preserve">CPL 245.50(1) provides that “[w]hen the prosecution has provided the discovery required by subdivision one of section 245.20 of this article, except for any items or information that are the subject of an order pursuant to section 245.70 of this article, it shall serve upon the defendant and file with the court a certificate of compliance. The certificate of compliance shall state that, after exercising due diligence and making reasonable inquiries to ascertain the existence of material and information subject to discovery, the prosecutor has disclosed and made available all known material and information subject to discovery. It shall also identify the items provided.” </w:t>
      </w:r>
    </w:p>
    <w:p w14:paraId="6340645E" w14:textId="77777777" w:rsidR="005D7C9E" w:rsidRPr="001A45A8" w:rsidRDefault="005D7C9E" w:rsidP="00EF2E6C">
      <w:pPr>
        <w:pStyle w:val="EndnoteText"/>
        <w:rPr>
          <w:rFonts w:ascii="Times New Roman" w:hAnsi="Times New Roman" w:cs="Times New Roman"/>
          <w:sz w:val="24"/>
          <w:szCs w:val="24"/>
        </w:rPr>
      </w:pPr>
    </w:p>
  </w:endnote>
  <w:endnote w:id="4">
    <w:p w14:paraId="38574F3A" w14:textId="11C0B392" w:rsidR="005D7C9E" w:rsidRPr="001A45A8" w:rsidRDefault="005D7C9E" w:rsidP="00BF1B3D">
      <w:pPr>
        <w:pStyle w:val="EndnoteText"/>
        <w:jc w:val="both"/>
        <w:rPr>
          <w:rFonts w:ascii="Times New Roman" w:hAnsi="Times New Roman" w:cs="Times New Roman"/>
          <w:sz w:val="24"/>
          <w:szCs w:val="24"/>
        </w:rPr>
      </w:pPr>
      <w:r w:rsidRPr="001A45A8">
        <w:rPr>
          <w:rStyle w:val="EndnoteReference"/>
          <w:rFonts w:ascii="Times New Roman" w:hAnsi="Times New Roman" w:cs="Times New Roman"/>
          <w:sz w:val="24"/>
          <w:szCs w:val="24"/>
        </w:rPr>
        <w:endnoteRef/>
      </w:r>
      <w:r w:rsidRPr="001A45A8">
        <w:rPr>
          <w:rFonts w:ascii="Times New Roman" w:hAnsi="Times New Roman" w:cs="Times New Roman"/>
          <w:sz w:val="24"/>
          <w:szCs w:val="24"/>
        </w:rPr>
        <w:t xml:space="preserve"> “If additional discovery is subsequently provided prior to trial pursuant to section 245.60 of this article, a supplemental certificate shall be served upon the defendant and filed with the court identifying the additional material and information provided</w:t>
      </w:r>
      <w:r w:rsidRPr="001A45A8">
        <w:rPr>
          <w:rFonts w:ascii="Times New Roman" w:hAnsi="Times New Roman" w:cs="Times New Roman"/>
          <w:i/>
          <w:iCs/>
          <w:sz w:val="24"/>
          <w:szCs w:val="24"/>
        </w:rPr>
        <w:t>.</w:t>
      </w:r>
      <w:r w:rsidRPr="001A45A8">
        <w:rPr>
          <w:rFonts w:ascii="Times New Roman" w:hAnsi="Times New Roman" w:cs="Times New Roman"/>
          <w:sz w:val="24"/>
          <w:szCs w:val="24"/>
        </w:rPr>
        <w:t xml:space="preserve"> No adverse consequence to the prosecution or the prosecutor shall result from the filing of a certificate of compliance in good faith; but the court may grant a remedy or sanction for a discovery violation as provided in section 245.80 of this article.”  CPL 245.50(1).</w:t>
      </w:r>
    </w:p>
    <w:p w14:paraId="28B5B358" w14:textId="77777777" w:rsidR="005D7C9E" w:rsidRPr="001A45A8" w:rsidRDefault="005D7C9E" w:rsidP="00EF2E6C">
      <w:pPr>
        <w:pStyle w:val="EndnoteText"/>
        <w:rPr>
          <w:rFonts w:ascii="Times New Roman" w:hAnsi="Times New Roman" w:cs="Times New Roman"/>
          <w:sz w:val="24"/>
          <w:szCs w:val="24"/>
        </w:rPr>
      </w:pPr>
    </w:p>
  </w:endnote>
  <w:endnote w:id="5">
    <w:p w14:paraId="6C2610AC" w14:textId="68188ADB" w:rsidR="005D7C9E" w:rsidRPr="001A45A8" w:rsidRDefault="005D7C9E" w:rsidP="0073537A">
      <w:pPr>
        <w:autoSpaceDE w:val="0"/>
        <w:autoSpaceDN w:val="0"/>
        <w:adjustRightInd w:val="0"/>
        <w:snapToGrid w:val="0"/>
        <w:spacing w:after="0" w:line="240" w:lineRule="auto"/>
        <w:jc w:val="both"/>
        <w:rPr>
          <w:rFonts w:ascii="Times New Roman" w:hAnsi="Times New Roman" w:cs="Times New Roman"/>
          <w:sz w:val="24"/>
          <w:szCs w:val="24"/>
        </w:rPr>
      </w:pPr>
      <w:r w:rsidRPr="001A45A8">
        <w:rPr>
          <w:rStyle w:val="EndnoteReference"/>
          <w:rFonts w:ascii="Times New Roman" w:hAnsi="Times New Roman" w:cs="Times New Roman"/>
          <w:sz w:val="24"/>
          <w:szCs w:val="24"/>
        </w:rPr>
        <w:endnoteRef/>
      </w:r>
      <w:r w:rsidRPr="001A45A8">
        <w:rPr>
          <w:rFonts w:ascii="Times New Roman" w:hAnsi="Times New Roman" w:cs="Times New Roman"/>
          <w:sz w:val="24"/>
          <w:szCs w:val="24"/>
        </w:rPr>
        <w:t xml:space="preserve"> “Notwithstanding the provisions of any other law, absent an individualized finding of </w:t>
      </w:r>
      <w:r w:rsidR="00CA566E" w:rsidRPr="001A45A8">
        <w:rPr>
          <w:rFonts w:ascii="Times New Roman" w:hAnsi="Times New Roman" w:cs="Times New Roman"/>
          <w:sz w:val="24"/>
          <w:szCs w:val="24"/>
        </w:rPr>
        <w:t>special</w:t>
      </w:r>
      <w:r w:rsidRPr="001A45A8">
        <w:rPr>
          <w:rFonts w:ascii="Times New Roman" w:hAnsi="Times New Roman" w:cs="Times New Roman"/>
          <w:sz w:val="24"/>
          <w:szCs w:val="24"/>
        </w:rPr>
        <w:t xml:space="preserve"> circumstances </w:t>
      </w:r>
      <w:r w:rsidR="00CA566E" w:rsidRPr="001A45A8">
        <w:rPr>
          <w:rFonts w:ascii="Times New Roman" w:hAnsi="Times New Roman" w:cs="Times New Roman"/>
          <w:sz w:val="24"/>
          <w:szCs w:val="24"/>
        </w:rPr>
        <w:t>in the instant case</w:t>
      </w:r>
      <w:r w:rsidR="007B2F52" w:rsidRPr="001A45A8">
        <w:rPr>
          <w:rFonts w:ascii="Times New Roman" w:hAnsi="Times New Roman" w:cs="Times New Roman"/>
          <w:sz w:val="24"/>
          <w:szCs w:val="24"/>
        </w:rPr>
        <w:t xml:space="preserve"> </w:t>
      </w:r>
      <w:r w:rsidRPr="001A45A8">
        <w:rPr>
          <w:rFonts w:ascii="Times New Roman" w:hAnsi="Times New Roman" w:cs="Times New Roman"/>
          <w:sz w:val="24"/>
          <w:szCs w:val="24"/>
        </w:rPr>
        <w:t>by the court before which the charge is pending, the prosecution shall not be deemed ready for trial for purposes of section 30.30 of this chapter until it has filed a proper certificate pursuant to subdivision one of this section.</w:t>
      </w:r>
      <w:r w:rsidR="0073537A" w:rsidRPr="001A45A8">
        <w:rPr>
          <w:rFonts w:ascii="Times New Roman" w:hAnsi="Times New Roman" w:cs="Times New Roman"/>
          <w:sz w:val="24"/>
          <w:szCs w:val="24"/>
        </w:rPr>
        <w:t xml:space="preserve"> </w:t>
      </w:r>
      <w:r w:rsidRPr="001A45A8">
        <w:rPr>
          <w:rFonts w:ascii="Times New Roman" w:hAnsi="Times New Roman" w:cs="Times New Roman"/>
          <w:sz w:val="24"/>
          <w:szCs w:val="24"/>
        </w:rPr>
        <w:t xml:space="preserve"> </w:t>
      </w:r>
      <w:r w:rsidR="0073537A" w:rsidRPr="001A45A8">
        <w:rPr>
          <w:rFonts w:ascii="Times New Roman" w:eastAsia="Times New Roman" w:hAnsi="Times New Roman" w:cs="Times New Roman"/>
          <w:sz w:val="24"/>
          <w:szCs w:val="24"/>
          <w:lang w:val="x-none"/>
        </w:rPr>
        <w:t>A court may deem the prosecution</w:t>
      </w:r>
      <w:r w:rsidR="0073537A" w:rsidRPr="001A45A8">
        <w:rPr>
          <w:rFonts w:ascii="Times New Roman" w:eastAsia="Times New Roman" w:hAnsi="Times New Roman" w:cs="Times New Roman"/>
          <w:sz w:val="24"/>
          <w:szCs w:val="24"/>
        </w:rPr>
        <w:t xml:space="preserve"> </w:t>
      </w:r>
      <w:r w:rsidR="0073537A" w:rsidRPr="001A45A8">
        <w:rPr>
          <w:rFonts w:ascii="Times New Roman" w:eastAsia="Times New Roman" w:hAnsi="Times New Roman" w:cs="Times New Roman"/>
          <w:sz w:val="24"/>
          <w:szCs w:val="24"/>
          <w:lang w:val="x-none"/>
        </w:rPr>
        <w:t>ready for trial pursuant to section 30.30 of this chapter where information that might be considered discoverable under this article cannot be</w:t>
      </w:r>
      <w:r w:rsidR="0073537A" w:rsidRPr="001A45A8">
        <w:rPr>
          <w:rFonts w:ascii="Times New Roman" w:eastAsia="Times New Roman" w:hAnsi="Times New Roman" w:cs="Times New Roman"/>
          <w:sz w:val="24"/>
          <w:szCs w:val="24"/>
        </w:rPr>
        <w:t xml:space="preserve"> </w:t>
      </w:r>
      <w:r w:rsidR="0073537A" w:rsidRPr="001A45A8">
        <w:rPr>
          <w:rFonts w:ascii="Times New Roman" w:eastAsia="Times New Roman" w:hAnsi="Times New Roman" w:cs="Times New Roman"/>
          <w:sz w:val="24"/>
          <w:szCs w:val="24"/>
          <w:lang w:val="x-none"/>
        </w:rPr>
        <w:t>disclosed because it has been lost, destroyed, or otherwise unavailable</w:t>
      </w:r>
      <w:r w:rsidR="0073537A" w:rsidRPr="001A45A8">
        <w:rPr>
          <w:rFonts w:ascii="Times New Roman" w:eastAsia="Times New Roman" w:hAnsi="Times New Roman" w:cs="Times New Roman"/>
          <w:sz w:val="24"/>
          <w:szCs w:val="24"/>
        </w:rPr>
        <w:t xml:space="preserve"> </w:t>
      </w:r>
      <w:r w:rsidR="0073537A" w:rsidRPr="001A45A8">
        <w:rPr>
          <w:rFonts w:ascii="Times New Roman" w:eastAsia="Times New Roman" w:hAnsi="Times New Roman" w:cs="Times New Roman"/>
          <w:sz w:val="24"/>
          <w:szCs w:val="24"/>
          <w:lang w:val="x-none"/>
        </w:rPr>
        <w:t>as provided by paragraph (b) of subdivision one of section 245.80 of</w:t>
      </w:r>
      <w:r w:rsidR="0073537A" w:rsidRPr="001A45A8">
        <w:rPr>
          <w:rFonts w:ascii="Times New Roman" w:eastAsia="Times New Roman" w:hAnsi="Times New Roman" w:cs="Times New Roman"/>
          <w:sz w:val="24"/>
          <w:szCs w:val="24"/>
        </w:rPr>
        <w:t xml:space="preserve"> </w:t>
      </w:r>
      <w:r w:rsidR="0073537A" w:rsidRPr="001A45A8">
        <w:rPr>
          <w:rFonts w:ascii="Times New Roman" w:eastAsia="Times New Roman" w:hAnsi="Times New Roman" w:cs="Times New Roman"/>
          <w:sz w:val="24"/>
          <w:szCs w:val="24"/>
          <w:lang w:val="x-none"/>
        </w:rPr>
        <w:t>this article, despite diligent and good faith efforts,</w:t>
      </w:r>
      <w:r w:rsidR="0073537A" w:rsidRPr="001A45A8">
        <w:rPr>
          <w:rFonts w:ascii="Times New Roman" w:eastAsia="Times New Roman" w:hAnsi="Times New Roman" w:cs="Times New Roman"/>
          <w:sz w:val="24"/>
          <w:szCs w:val="24"/>
        </w:rPr>
        <w:t xml:space="preserve"> </w:t>
      </w:r>
      <w:r w:rsidR="0073537A" w:rsidRPr="001A45A8">
        <w:rPr>
          <w:rFonts w:ascii="Times New Roman" w:eastAsia="Times New Roman" w:hAnsi="Times New Roman" w:cs="Times New Roman"/>
          <w:sz w:val="24"/>
          <w:szCs w:val="24"/>
          <w:lang w:val="x-none"/>
        </w:rPr>
        <w:t>reasonable under</w:t>
      </w:r>
      <w:r w:rsidR="0073537A" w:rsidRPr="001A45A8">
        <w:rPr>
          <w:rFonts w:ascii="Times New Roman" w:eastAsia="Times New Roman" w:hAnsi="Times New Roman" w:cs="Times New Roman"/>
          <w:sz w:val="24"/>
          <w:szCs w:val="24"/>
        </w:rPr>
        <w:t xml:space="preserve"> </w:t>
      </w:r>
      <w:r w:rsidR="0073537A" w:rsidRPr="001A45A8">
        <w:rPr>
          <w:rFonts w:ascii="Times New Roman" w:eastAsia="Times New Roman" w:hAnsi="Times New Roman" w:cs="Times New Roman"/>
          <w:sz w:val="24"/>
          <w:szCs w:val="24"/>
          <w:lang w:val="x-none"/>
        </w:rPr>
        <w:t>the circumstances. Provided, however, that the court may grant a remedy</w:t>
      </w:r>
      <w:r w:rsidR="0073537A" w:rsidRPr="001A45A8">
        <w:rPr>
          <w:rFonts w:ascii="Times New Roman" w:eastAsia="Times New Roman" w:hAnsi="Times New Roman" w:cs="Times New Roman"/>
          <w:sz w:val="24"/>
          <w:szCs w:val="24"/>
        </w:rPr>
        <w:t xml:space="preserve"> </w:t>
      </w:r>
      <w:r w:rsidR="0073537A" w:rsidRPr="001A45A8">
        <w:rPr>
          <w:rFonts w:ascii="Times New Roman" w:eastAsia="Times New Roman" w:hAnsi="Times New Roman" w:cs="Times New Roman"/>
          <w:sz w:val="24"/>
          <w:szCs w:val="24"/>
          <w:lang w:val="x-none"/>
        </w:rPr>
        <w:t>or sanction for a discovery violation as provided by section 245.80 of</w:t>
      </w:r>
      <w:r w:rsidR="0073537A" w:rsidRPr="001A45A8">
        <w:rPr>
          <w:rFonts w:ascii="Times New Roman" w:eastAsia="Times New Roman" w:hAnsi="Times New Roman" w:cs="Times New Roman"/>
          <w:sz w:val="24"/>
          <w:szCs w:val="24"/>
        </w:rPr>
        <w:t xml:space="preserve"> </w:t>
      </w:r>
      <w:r w:rsidR="0073537A" w:rsidRPr="001A45A8">
        <w:rPr>
          <w:rFonts w:ascii="Times New Roman" w:eastAsia="Times New Roman" w:hAnsi="Times New Roman" w:cs="Times New Roman"/>
          <w:sz w:val="24"/>
          <w:szCs w:val="24"/>
          <w:lang w:val="x-none"/>
        </w:rPr>
        <w:t>this article.</w:t>
      </w:r>
      <w:r w:rsidR="0073537A" w:rsidRPr="001A45A8">
        <w:rPr>
          <w:rFonts w:ascii="Times New Roman" w:eastAsia="Times New Roman" w:hAnsi="Times New Roman" w:cs="Times New Roman"/>
          <w:sz w:val="24"/>
          <w:szCs w:val="24"/>
        </w:rPr>
        <w:t xml:space="preserve">” </w:t>
      </w:r>
      <w:r w:rsidR="00D05187" w:rsidRPr="001A45A8">
        <w:rPr>
          <w:rFonts w:ascii="Times New Roman" w:eastAsia="Times New Roman" w:hAnsi="Times New Roman" w:cs="Times New Roman"/>
          <w:sz w:val="24"/>
          <w:szCs w:val="24"/>
        </w:rPr>
        <w:t xml:space="preserve"> </w:t>
      </w:r>
      <w:r w:rsidRPr="001A45A8">
        <w:rPr>
          <w:rFonts w:ascii="Times New Roman" w:hAnsi="Times New Roman" w:cs="Times New Roman"/>
          <w:sz w:val="24"/>
          <w:szCs w:val="24"/>
        </w:rPr>
        <w:t>CPL 245.50(3)</w:t>
      </w:r>
      <w:r w:rsidR="00F210E9" w:rsidRPr="001A45A8">
        <w:rPr>
          <w:rFonts w:ascii="Times New Roman" w:hAnsi="Times New Roman" w:cs="Times New Roman"/>
          <w:sz w:val="24"/>
          <w:szCs w:val="24"/>
        </w:rPr>
        <w:t>, as amended by the Laws 2020, c. 56, Part HHH</w:t>
      </w:r>
      <w:r w:rsidR="007B2F52" w:rsidRPr="001A45A8">
        <w:rPr>
          <w:rFonts w:ascii="Times New Roman" w:hAnsi="Times New Roman" w:cs="Times New Roman"/>
          <w:sz w:val="24"/>
          <w:szCs w:val="24"/>
        </w:rPr>
        <w:t xml:space="preserve"> (amendments highlighted).</w:t>
      </w:r>
    </w:p>
    <w:p w14:paraId="23E105A1" w14:textId="77777777" w:rsidR="001C0750" w:rsidRPr="001A45A8" w:rsidRDefault="001C0750" w:rsidP="0004087E">
      <w:pPr>
        <w:pStyle w:val="EndnoteText"/>
        <w:rPr>
          <w:rFonts w:ascii="Times New Roman" w:hAnsi="Times New Roman" w:cs="Times New Roman"/>
          <w:sz w:val="24"/>
          <w:szCs w:val="24"/>
        </w:rPr>
      </w:pPr>
    </w:p>
  </w:endnote>
  <w:endnote w:id="6">
    <w:p w14:paraId="768ACB70" w14:textId="3559086A" w:rsidR="005D7C9E" w:rsidRPr="001A45A8" w:rsidRDefault="005D7C9E" w:rsidP="00BF1B3D">
      <w:pPr>
        <w:pStyle w:val="EndnoteText"/>
        <w:jc w:val="both"/>
        <w:rPr>
          <w:rFonts w:ascii="Times New Roman" w:hAnsi="Times New Roman" w:cs="Times New Roman"/>
          <w:sz w:val="24"/>
          <w:szCs w:val="24"/>
        </w:rPr>
      </w:pPr>
      <w:r w:rsidRPr="001A45A8">
        <w:rPr>
          <w:rStyle w:val="EndnoteReference"/>
          <w:rFonts w:ascii="Times New Roman" w:hAnsi="Times New Roman" w:cs="Times New Roman"/>
          <w:sz w:val="24"/>
          <w:szCs w:val="24"/>
        </w:rPr>
        <w:endnoteRef/>
      </w:r>
      <w:r w:rsidRPr="001A45A8">
        <w:rPr>
          <w:rFonts w:ascii="Times New Roman" w:hAnsi="Times New Roman" w:cs="Times New Roman"/>
          <w:sz w:val="24"/>
          <w:szCs w:val="24"/>
        </w:rPr>
        <w:t xml:space="preserve"> A statement of readiness must be of “present readiness, not a prediction or expectation of future readiness.” </w:t>
      </w:r>
      <w:r w:rsidRPr="001A45A8">
        <w:rPr>
          <w:rFonts w:ascii="Times New Roman" w:hAnsi="Times New Roman" w:cs="Times New Roman"/>
          <w:i/>
          <w:iCs/>
          <w:sz w:val="24"/>
          <w:szCs w:val="24"/>
        </w:rPr>
        <w:t>People v. Kendzia,</w:t>
      </w:r>
      <w:r w:rsidRPr="001A45A8">
        <w:rPr>
          <w:rFonts w:ascii="Times New Roman" w:hAnsi="Times New Roman" w:cs="Times New Roman"/>
          <w:sz w:val="24"/>
          <w:szCs w:val="24"/>
        </w:rPr>
        <w:t xml:space="preserve"> 64 N.Y.2d 331, 486 (1985). In particular, the law requires for a statement of readiness that an assistant district attorney be presently available to try the case, meaning that the assistant who is to try the case not be on trial in another case or directed and bound by a court  to start another case to the exclusion of trying the one upon which the statement of readiness is proffered. </w:t>
      </w:r>
      <w:r w:rsidRPr="001A45A8">
        <w:rPr>
          <w:rFonts w:ascii="Times New Roman" w:hAnsi="Times New Roman" w:cs="Times New Roman"/>
          <w:i/>
          <w:iCs/>
          <w:sz w:val="24"/>
          <w:szCs w:val="24"/>
        </w:rPr>
        <w:t>See People v. Jones,</w:t>
      </w:r>
      <w:r w:rsidRPr="001A45A8">
        <w:rPr>
          <w:rFonts w:ascii="Times New Roman" w:hAnsi="Times New Roman" w:cs="Times New Roman"/>
          <w:sz w:val="24"/>
          <w:szCs w:val="24"/>
        </w:rPr>
        <w:t xml:space="preserve"> 68 N.Y.2d 717, 718 (1986) (an adjournment was chargeable to the People where the prosecutor was planning on going on a European vacation, but “the record suggests that another trial assistant could have been substituted”).</w:t>
      </w:r>
    </w:p>
    <w:p w14:paraId="3461D0BF" w14:textId="77777777" w:rsidR="005D7C9E" w:rsidRPr="001A45A8" w:rsidRDefault="005D7C9E">
      <w:pPr>
        <w:pStyle w:val="EndnoteText"/>
        <w:rPr>
          <w:rFonts w:ascii="Times New Roman" w:hAnsi="Times New Roman" w:cs="Times New Roman"/>
          <w:sz w:val="24"/>
          <w:szCs w:val="24"/>
        </w:rPr>
      </w:pPr>
    </w:p>
  </w:endnote>
  <w:endnote w:id="7">
    <w:p w14:paraId="7ACB8252" w14:textId="13958A19" w:rsidR="005D7C9E" w:rsidRPr="001A45A8" w:rsidRDefault="005D7C9E" w:rsidP="00BF1B3D">
      <w:pPr>
        <w:pStyle w:val="EndnoteText"/>
        <w:jc w:val="both"/>
        <w:rPr>
          <w:rFonts w:ascii="Times New Roman" w:hAnsi="Times New Roman" w:cs="Times New Roman"/>
          <w:sz w:val="24"/>
          <w:szCs w:val="24"/>
        </w:rPr>
      </w:pPr>
      <w:r w:rsidRPr="001A45A8">
        <w:rPr>
          <w:rStyle w:val="EndnoteReference"/>
          <w:rFonts w:ascii="Times New Roman" w:hAnsi="Times New Roman" w:cs="Times New Roman"/>
          <w:sz w:val="24"/>
          <w:szCs w:val="24"/>
        </w:rPr>
        <w:endnoteRef/>
      </w:r>
      <w:r w:rsidRPr="001A45A8">
        <w:rPr>
          <w:rFonts w:ascii="Times New Roman" w:hAnsi="Times New Roman" w:cs="Times New Roman"/>
          <w:sz w:val="24"/>
          <w:szCs w:val="24"/>
        </w:rPr>
        <w:t xml:space="preserve"> A witness should be deemed available when, should the trial start in the foreseeable future, the witness would be available to testify</w:t>
      </w:r>
      <w:r w:rsidR="00A01DFE" w:rsidRPr="001A45A8">
        <w:rPr>
          <w:rFonts w:ascii="Times New Roman" w:hAnsi="Times New Roman" w:cs="Times New Roman"/>
          <w:sz w:val="24"/>
          <w:szCs w:val="24"/>
        </w:rPr>
        <w:t xml:space="preserve">. </w:t>
      </w:r>
      <w:r w:rsidRPr="001A45A8">
        <w:rPr>
          <w:rFonts w:ascii="Times New Roman" w:hAnsi="Times New Roman" w:cs="Times New Roman"/>
          <w:i/>
          <w:iCs/>
          <w:sz w:val="24"/>
          <w:szCs w:val="24"/>
        </w:rPr>
        <w:t>But see People v. Wilson</w:t>
      </w:r>
      <w:r w:rsidRPr="001A45A8">
        <w:rPr>
          <w:rFonts w:ascii="Times New Roman" w:hAnsi="Times New Roman" w:cs="Times New Roman"/>
          <w:sz w:val="24"/>
          <w:szCs w:val="24"/>
        </w:rPr>
        <w:t xml:space="preserve">, 86 N.Y.2d 753, 754–55 (1995), which suggests that the availability of </w:t>
      </w:r>
      <w:r w:rsidR="0033620E" w:rsidRPr="001A45A8">
        <w:rPr>
          <w:rFonts w:ascii="Times New Roman" w:hAnsi="Times New Roman" w:cs="Times New Roman"/>
          <w:sz w:val="24"/>
          <w:szCs w:val="24"/>
        </w:rPr>
        <w:t xml:space="preserve">a </w:t>
      </w:r>
      <w:r w:rsidRPr="001A45A8">
        <w:rPr>
          <w:rFonts w:ascii="Times New Roman" w:hAnsi="Times New Roman" w:cs="Times New Roman"/>
          <w:sz w:val="24"/>
          <w:szCs w:val="24"/>
        </w:rPr>
        <w:t>witness is meant in a more general way</w:t>
      </w:r>
      <w:r w:rsidR="00A01DFE" w:rsidRPr="001A45A8">
        <w:rPr>
          <w:rFonts w:ascii="Times New Roman" w:hAnsi="Times New Roman" w:cs="Times New Roman"/>
          <w:sz w:val="24"/>
          <w:szCs w:val="24"/>
        </w:rPr>
        <w:t xml:space="preserve">. </w:t>
      </w:r>
      <w:r w:rsidRPr="001A45A8">
        <w:rPr>
          <w:rFonts w:ascii="Times New Roman" w:hAnsi="Times New Roman" w:cs="Times New Roman"/>
          <w:sz w:val="24"/>
          <w:szCs w:val="24"/>
        </w:rPr>
        <w:t xml:space="preserve">There, the Court of Appeals noted </w:t>
      </w:r>
      <w:r w:rsidR="00A01DFE" w:rsidRPr="001A45A8">
        <w:rPr>
          <w:rFonts w:ascii="Times New Roman" w:hAnsi="Times New Roman" w:cs="Times New Roman"/>
          <w:sz w:val="24"/>
          <w:szCs w:val="24"/>
        </w:rPr>
        <w:t>that on</w:t>
      </w:r>
      <w:r w:rsidRPr="001A45A8">
        <w:rPr>
          <w:rFonts w:ascii="Times New Roman" w:hAnsi="Times New Roman" w:cs="Times New Roman"/>
          <w:sz w:val="24"/>
          <w:szCs w:val="24"/>
        </w:rPr>
        <w:t xml:space="preserve"> the alleged date of readiness, “the People stated ‘we have been in contact with the victim. Our intentions are to go forward.’</w:t>
      </w:r>
      <w:r w:rsidR="002C2CDE" w:rsidRPr="001A45A8">
        <w:rPr>
          <w:rFonts w:ascii="Times New Roman" w:hAnsi="Times New Roman" w:cs="Times New Roman"/>
          <w:sz w:val="24"/>
          <w:szCs w:val="24"/>
        </w:rPr>
        <w:t>”</w:t>
      </w:r>
      <w:r w:rsidR="00A01DFE" w:rsidRPr="001A45A8">
        <w:rPr>
          <w:rFonts w:ascii="Times New Roman" w:hAnsi="Times New Roman" w:cs="Times New Roman"/>
          <w:sz w:val="24"/>
          <w:szCs w:val="24"/>
        </w:rPr>
        <w:t xml:space="preserve"> And</w:t>
      </w:r>
      <w:r w:rsidRPr="001A45A8">
        <w:rPr>
          <w:rFonts w:ascii="Times New Roman" w:hAnsi="Times New Roman" w:cs="Times New Roman"/>
          <w:sz w:val="24"/>
          <w:szCs w:val="24"/>
        </w:rPr>
        <w:t xml:space="preserve"> the Court held that the second element of readiness, that the People were, in fact ready, “was satisfied here where the People had secured the complainant's cooperation for retrial, possessed a valid accusatory instrument, and had produced defendant.”</w:t>
      </w:r>
    </w:p>
    <w:p w14:paraId="74B0097C" w14:textId="77777777" w:rsidR="005D7C9E" w:rsidRPr="001A45A8" w:rsidRDefault="005D7C9E">
      <w:pPr>
        <w:pStyle w:val="EndnoteText"/>
        <w:rPr>
          <w:rFonts w:ascii="Times New Roman" w:hAnsi="Times New Roman" w:cs="Times New Roman"/>
          <w:sz w:val="24"/>
          <w:szCs w:val="24"/>
        </w:rPr>
      </w:pPr>
    </w:p>
  </w:endnote>
  <w:endnote w:id="8">
    <w:p w14:paraId="682E5672" w14:textId="3BAAA319" w:rsidR="005D7C9E" w:rsidRPr="001A45A8" w:rsidRDefault="005D7C9E" w:rsidP="00BF1B3D">
      <w:pPr>
        <w:pStyle w:val="EndnoteText"/>
        <w:jc w:val="both"/>
        <w:rPr>
          <w:rFonts w:ascii="Times New Roman" w:hAnsi="Times New Roman" w:cs="Times New Roman"/>
          <w:sz w:val="24"/>
          <w:szCs w:val="24"/>
        </w:rPr>
      </w:pPr>
      <w:r w:rsidRPr="001A45A8">
        <w:rPr>
          <w:rStyle w:val="EndnoteReference"/>
          <w:rFonts w:ascii="Times New Roman" w:hAnsi="Times New Roman" w:cs="Times New Roman"/>
          <w:sz w:val="24"/>
          <w:szCs w:val="24"/>
        </w:rPr>
        <w:endnoteRef/>
      </w:r>
      <w:r w:rsidRPr="001A45A8">
        <w:rPr>
          <w:rFonts w:ascii="Times New Roman" w:hAnsi="Times New Roman" w:cs="Times New Roman"/>
          <w:sz w:val="24"/>
          <w:szCs w:val="24"/>
        </w:rPr>
        <w:t xml:space="preserve"> “This question is taken directly from </w:t>
      </w:r>
      <w:r w:rsidRPr="001A45A8">
        <w:rPr>
          <w:rFonts w:ascii="Times New Roman" w:hAnsi="Times New Roman" w:cs="Times New Roman"/>
          <w:i/>
          <w:iCs/>
          <w:sz w:val="24"/>
          <w:szCs w:val="24"/>
        </w:rPr>
        <w:t>People v. England,</w:t>
      </w:r>
      <w:r w:rsidRPr="001A45A8">
        <w:rPr>
          <w:rFonts w:ascii="Times New Roman" w:hAnsi="Times New Roman" w:cs="Times New Roman"/>
          <w:sz w:val="24"/>
          <w:szCs w:val="24"/>
        </w:rPr>
        <w:t xml:space="preserve"> 84 N.Y.2d 1, 4 (1994), in which the Court of Appeals stated, “Trial readiness in CPL 30.30 means both a communication of readiness by the People on the record and an indication of present readiness.  The inquiry is whether the People have done all that is required of them to bring the case to a point where it may be tried” (citations omitted).</w:t>
      </w:r>
    </w:p>
    <w:p w14:paraId="54B737BE" w14:textId="77777777" w:rsidR="005D7C9E" w:rsidRPr="001A45A8" w:rsidRDefault="005D7C9E" w:rsidP="000B62C7">
      <w:pPr>
        <w:pStyle w:val="EndnoteText"/>
        <w:rPr>
          <w:rFonts w:ascii="Times New Roman" w:hAnsi="Times New Roman" w:cs="Times New Roman"/>
          <w:sz w:val="24"/>
          <w:szCs w:val="24"/>
        </w:rPr>
      </w:pPr>
    </w:p>
  </w:endnote>
  <w:endnote w:id="9">
    <w:p w14:paraId="3BFC4CDC" w14:textId="7CF7B0FC" w:rsidR="0038228C" w:rsidRPr="001A45A8" w:rsidRDefault="0038228C" w:rsidP="0038228C">
      <w:pPr>
        <w:pStyle w:val="EndnoteText"/>
        <w:jc w:val="both"/>
        <w:rPr>
          <w:rFonts w:ascii="Times New Roman" w:hAnsi="Times New Roman" w:cs="Times New Roman"/>
          <w:sz w:val="24"/>
          <w:szCs w:val="24"/>
        </w:rPr>
      </w:pPr>
      <w:r w:rsidRPr="001A45A8">
        <w:rPr>
          <w:rStyle w:val="EndnoteReference"/>
          <w:rFonts w:ascii="Times New Roman" w:hAnsi="Times New Roman" w:cs="Times New Roman"/>
          <w:sz w:val="24"/>
          <w:szCs w:val="24"/>
        </w:rPr>
        <w:endnoteRef/>
      </w:r>
      <w:r w:rsidRPr="001A45A8">
        <w:rPr>
          <w:rFonts w:ascii="Times New Roman" w:hAnsi="Times New Roman" w:cs="Times New Roman"/>
          <w:sz w:val="24"/>
          <w:szCs w:val="24"/>
        </w:rPr>
        <w:t xml:space="preserve"> CPL 30.30(5) explicitly requires the court to give the defendant an opportunity to be heard about discovery compliance; it does not explicitly require the court to give the defendant an opportunity to be heard otherwise on a statement of readiness</w:t>
      </w:r>
      <w:r w:rsidR="002C2CDE" w:rsidRPr="001A45A8">
        <w:rPr>
          <w:rFonts w:ascii="Times New Roman" w:hAnsi="Times New Roman" w:cs="Times New Roman"/>
          <w:sz w:val="24"/>
          <w:szCs w:val="24"/>
        </w:rPr>
        <w:t xml:space="preserve">. </w:t>
      </w:r>
      <w:r w:rsidRPr="001A45A8">
        <w:rPr>
          <w:rFonts w:ascii="Times New Roman" w:hAnsi="Times New Roman" w:cs="Times New Roman"/>
          <w:sz w:val="24"/>
          <w:szCs w:val="24"/>
        </w:rPr>
        <w:t>The Court must nonetheless be prepared to address whether, aside from discovery compliance, it will entertain defense counsel on other issues of readiness. If a defendant’s concerns are not readily resolvable, CPL 245.50(4) requires that “[c]</w:t>
      </w:r>
      <w:r w:rsidRPr="001A45A8">
        <w:rPr>
          <w:rFonts w:ascii="Times New Roman" w:hAnsi="Times New Roman" w:cs="Times New Roman"/>
          <w:sz w:val="24"/>
          <w:szCs w:val="24"/>
          <w:lang w:val="x-none"/>
        </w:rPr>
        <w:t>hallenges to, or questions related to a certificate of compliance</w:t>
      </w:r>
      <w:r w:rsidRPr="001A45A8">
        <w:rPr>
          <w:rFonts w:ascii="Times New Roman" w:hAnsi="Times New Roman" w:cs="Times New Roman"/>
          <w:sz w:val="24"/>
          <w:szCs w:val="24"/>
        </w:rPr>
        <w:t xml:space="preserve"> </w:t>
      </w:r>
      <w:r w:rsidRPr="001A45A8">
        <w:rPr>
          <w:rFonts w:ascii="Times New Roman" w:hAnsi="Times New Roman" w:cs="Times New Roman"/>
          <w:sz w:val="24"/>
          <w:szCs w:val="24"/>
          <w:lang w:val="x-none"/>
        </w:rPr>
        <w:t>shall be addressed by motion.</w:t>
      </w:r>
      <w:r w:rsidRPr="001A45A8">
        <w:rPr>
          <w:rFonts w:ascii="Times New Roman" w:hAnsi="Times New Roman" w:cs="Times New Roman"/>
          <w:sz w:val="24"/>
          <w:szCs w:val="24"/>
        </w:rPr>
        <w:t>” A court may find it advisable, however, to require the parties to consult with each other to see if their differences can be resolved without a motion.</w:t>
      </w:r>
    </w:p>
    <w:p w14:paraId="591D6511" w14:textId="77777777" w:rsidR="0038228C" w:rsidRPr="001A45A8" w:rsidRDefault="0038228C" w:rsidP="0038228C">
      <w:pPr>
        <w:pStyle w:val="EndnoteText"/>
        <w:jc w:val="both"/>
        <w:rPr>
          <w:rFonts w:ascii="Times New Roman" w:hAnsi="Times New Roman" w:cs="Times New Roman"/>
          <w:sz w:val="24"/>
          <w:szCs w:val="24"/>
        </w:rPr>
      </w:pPr>
    </w:p>
  </w:endnote>
  <w:endnote w:id="10">
    <w:p w14:paraId="5911A32A" w14:textId="77777777" w:rsidR="00192AC0" w:rsidRPr="001A45A8" w:rsidRDefault="00192AC0" w:rsidP="00192AC0">
      <w:pPr>
        <w:pStyle w:val="EndnoteText"/>
        <w:rPr>
          <w:rFonts w:ascii="Times New Roman" w:hAnsi="Times New Roman" w:cs="Times New Roman"/>
          <w:sz w:val="24"/>
          <w:szCs w:val="24"/>
        </w:rPr>
      </w:pPr>
      <w:r w:rsidRPr="001A45A8">
        <w:rPr>
          <w:rStyle w:val="EndnoteReference"/>
          <w:rFonts w:ascii="Times New Roman" w:hAnsi="Times New Roman" w:cs="Times New Roman"/>
          <w:sz w:val="24"/>
          <w:szCs w:val="24"/>
        </w:rPr>
        <w:endnoteRef/>
      </w:r>
      <w:r w:rsidRPr="001A45A8">
        <w:rPr>
          <w:rFonts w:ascii="Times New Roman" w:hAnsi="Times New Roman" w:cs="Times New Roman"/>
          <w:sz w:val="24"/>
          <w:szCs w:val="24"/>
        </w:rPr>
        <w:t xml:space="preserve">  CPL 245.50(4) [“</w:t>
      </w:r>
      <w:r w:rsidRPr="001A45A8">
        <w:rPr>
          <w:rFonts w:ascii="Times New Roman" w:hAnsi="Times New Roman" w:cs="Times New Roman"/>
          <w:sz w:val="24"/>
          <w:szCs w:val="24"/>
          <w:lang w:val="x-none"/>
        </w:rPr>
        <w:t>Challenges to, or questions related to a certificate of compliance</w:t>
      </w:r>
      <w:r w:rsidRPr="001A45A8">
        <w:rPr>
          <w:rFonts w:ascii="Times New Roman" w:hAnsi="Times New Roman" w:cs="Times New Roman"/>
          <w:sz w:val="24"/>
          <w:szCs w:val="24"/>
        </w:rPr>
        <w:t xml:space="preserve"> </w:t>
      </w:r>
      <w:r w:rsidRPr="001A45A8">
        <w:rPr>
          <w:rFonts w:ascii="Times New Roman" w:hAnsi="Times New Roman" w:cs="Times New Roman"/>
          <w:sz w:val="24"/>
          <w:szCs w:val="24"/>
          <w:lang w:val="x-none"/>
        </w:rPr>
        <w:t>shall be addressed by motion.</w:t>
      </w:r>
      <w:r w:rsidRPr="001A45A8">
        <w:rPr>
          <w:rFonts w:ascii="Times New Roman" w:hAnsi="Times New Roman" w:cs="Times New Roman"/>
          <w:sz w:val="24"/>
          <w:szCs w:val="24"/>
        </w:rPr>
        <w:t>”]</w:t>
      </w:r>
    </w:p>
    <w:p w14:paraId="14AD7187" w14:textId="77777777" w:rsidR="00192AC0" w:rsidRPr="001A45A8" w:rsidRDefault="00192AC0" w:rsidP="00192AC0">
      <w:pPr>
        <w:pStyle w:val="EndnoteText"/>
      </w:pPr>
    </w:p>
  </w:endnote>
  <w:endnote w:id="11">
    <w:p w14:paraId="41EAF3B1" w14:textId="07D46190" w:rsidR="005D7C9E" w:rsidRPr="001A45A8" w:rsidRDefault="005D7C9E">
      <w:pPr>
        <w:pStyle w:val="EndnoteText"/>
      </w:pPr>
      <w:r w:rsidRPr="001A45A8">
        <w:rPr>
          <w:rStyle w:val="EndnoteReference"/>
          <w:rFonts w:ascii="Times New Roman" w:hAnsi="Times New Roman" w:cs="Times New Roman"/>
          <w:sz w:val="24"/>
          <w:szCs w:val="24"/>
        </w:rPr>
        <w:endnoteRef/>
      </w:r>
      <w:r w:rsidRPr="001A45A8">
        <w:rPr>
          <w:rFonts w:ascii="Times New Roman" w:hAnsi="Times New Roman" w:cs="Times New Roman"/>
          <w:sz w:val="24"/>
          <w:szCs w:val="24"/>
        </w:rPr>
        <w:t xml:space="preserve"> CPL 30.30(4)(g).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A4679" w14:textId="77777777" w:rsidR="004F2577" w:rsidRDefault="004F2577" w:rsidP="00D97E69">
      <w:pPr>
        <w:spacing w:after="0" w:line="240" w:lineRule="auto"/>
      </w:pPr>
      <w:r>
        <w:separator/>
      </w:r>
    </w:p>
  </w:footnote>
  <w:footnote w:type="continuationSeparator" w:id="0">
    <w:p w14:paraId="2E8569F3" w14:textId="77777777" w:rsidR="004F2577" w:rsidRDefault="004F2577" w:rsidP="00D97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14BE"/>
    <w:multiLevelType w:val="hybridMultilevel"/>
    <w:tmpl w:val="41B2D412"/>
    <w:lvl w:ilvl="0" w:tplc="118A5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013FE"/>
    <w:multiLevelType w:val="hybridMultilevel"/>
    <w:tmpl w:val="F782E22C"/>
    <w:lvl w:ilvl="0" w:tplc="554838A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508D0"/>
    <w:multiLevelType w:val="hybridMultilevel"/>
    <w:tmpl w:val="A2529DAE"/>
    <w:lvl w:ilvl="0" w:tplc="118A5A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739D9"/>
    <w:multiLevelType w:val="hybridMultilevel"/>
    <w:tmpl w:val="A2529DAE"/>
    <w:lvl w:ilvl="0" w:tplc="118A5A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D7544D"/>
    <w:multiLevelType w:val="hybridMultilevel"/>
    <w:tmpl w:val="501CACB4"/>
    <w:lvl w:ilvl="0" w:tplc="4F9A3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4D1FA4"/>
    <w:multiLevelType w:val="hybridMultilevel"/>
    <w:tmpl w:val="AB26798E"/>
    <w:lvl w:ilvl="0" w:tplc="118A5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0117A9"/>
    <w:multiLevelType w:val="hybridMultilevel"/>
    <w:tmpl w:val="74149544"/>
    <w:lvl w:ilvl="0" w:tplc="671E7FBA">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0E4D90"/>
    <w:multiLevelType w:val="hybridMultilevel"/>
    <w:tmpl w:val="41B2D412"/>
    <w:lvl w:ilvl="0" w:tplc="118A5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7"/>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15"/>
    <w:rsid w:val="00006742"/>
    <w:rsid w:val="000067ED"/>
    <w:rsid w:val="00011E9D"/>
    <w:rsid w:val="000144E5"/>
    <w:rsid w:val="00023CCD"/>
    <w:rsid w:val="000243AA"/>
    <w:rsid w:val="00036BF1"/>
    <w:rsid w:val="0004087E"/>
    <w:rsid w:val="00046140"/>
    <w:rsid w:val="00050C81"/>
    <w:rsid w:val="0005724F"/>
    <w:rsid w:val="00057E88"/>
    <w:rsid w:val="00060490"/>
    <w:rsid w:val="000616D1"/>
    <w:rsid w:val="00061D31"/>
    <w:rsid w:val="00066670"/>
    <w:rsid w:val="00077DC3"/>
    <w:rsid w:val="00081683"/>
    <w:rsid w:val="00085380"/>
    <w:rsid w:val="000A347C"/>
    <w:rsid w:val="000A53B2"/>
    <w:rsid w:val="000A6B38"/>
    <w:rsid w:val="000B62C7"/>
    <w:rsid w:val="000C24B0"/>
    <w:rsid w:val="000C2FFD"/>
    <w:rsid w:val="000C509A"/>
    <w:rsid w:val="000C6EC2"/>
    <w:rsid w:val="000C7981"/>
    <w:rsid w:val="000E79DF"/>
    <w:rsid w:val="000F587D"/>
    <w:rsid w:val="00100EFB"/>
    <w:rsid w:val="00103C07"/>
    <w:rsid w:val="00114DBB"/>
    <w:rsid w:val="00117FD9"/>
    <w:rsid w:val="001216C9"/>
    <w:rsid w:val="0013562E"/>
    <w:rsid w:val="001372E0"/>
    <w:rsid w:val="00142D9D"/>
    <w:rsid w:val="00156E00"/>
    <w:rsid w:val="00173998"/>
    <w:rsid w:val="001813BD"/>
    <w:rsid w:val="001841B0"/>
    <w:rsid w:val="00192AC0"/>
    <w:rsid w:val="00193053"/>
    <w:rsid w:val="001A2758"/>
    <w:rsid w:val="001A2DB1"/>
    <w:rsid w:val="001A437B"/>
    <w:rsid w:val="001A45A8"/>
    <w:rsid w:val="001A67C2"/>
    <w:rsid w:val="001B5FC4"/>
    <w:rsid w:val="001C0750"/>
    <w:rsid w:val="001C26A3"/>
    <w:rsid w:val="001C288C"/>
    <w:rsid w:val="001C3861"/>
    <w:rsid w:val="001C3C72"/>
    <w:rsid w:val="001D617B"/>
    <w:rsid w:val="001E0576"/>
    <w:rsid w:val="001F3DED"/>
    <w:rsid w:val="001F4279"/>
    <w:rsid w:val="00203418"/>
    <w:rsid w:val="00211793"/>
    <w:rsid w:val="002268E3"/>
    <w:rsid w:val="0024381B"/>
    <w:rsid w:val="00244B50"/>
    <w:rsid w:val="0025378D"/>
    <w:rsid w:val="00254406"/>
    <w:rsid w:val="00255737"/>
    <w:rsid w:val="00256365"/>
    <w:rsid w:val="00263071"/>
    <w:rsid w:val="002636F6"/>
    <w:rsid w:val="00263830"/>
    <w:rsid w:val="00264E1F"/>
    <w:rsid w:val="00274362"/>
    <w:rsid w:val="00277D45"/>
    <w:rsid w:val="00281645"/>
    <w:rsid w:val="00283997"/>
    <w:rsid w:val="00285545"/>
    <w:rsid w:val="00290177"/>
    <w:rsid w:val="00291267"/>
    <w:rsid w:val="0029174F"/>
    <w:rsid w:val="00293F8F"/>
    <w:rsid w:val="00294B58"/>
    <w:rsid w:val="00296FFB"/>
    <w:rsid w:val="002A0818"/>
    <w:rsid w:val="002A7685"/>
    <w:rsid w:val="002C2CDE"/>
    <w:rsid w:val="002D121A"/>
    <w:rsid w:val="002D3A58"/>
    <w:rsid w:val="002D4A5E"/>
    <w:rsid w:val="002D6DD9"/>
    <w:rsid w:val="002E1548"/>
    <w:rsid w:val="002E39AA"/>
    <w:rsid w:val="002F3B69"/>
    <w:rsid w:val="002F3DE7"/>
    <w:rsid w:val="002F4349"/>
    <w:rsid w:val="00300584"/>
    <w:rsid w:val="00302081"/>
    <w:rsid w:val="00303629"/>
    <w:rsid w:val="00303CC3"/>
    <w:rsid w:val="00315912"/>
    <w:rsid w:val="0031770F"/>
    <w:rsid w:val="00322699"/>
    <w:rsid w:val="00323477"/>
    <w:rsid w:val="00326BA2"/>
    <w:rsid w:val="0033620E"/>
    <w:rsid w:val="00342B0B"/>
    <w:rsid w:val="00342EC4"/>
    <w:rsid w:val="00351543"/>
    <w:rsid w:val="00353B3D"/>
    <w:rsid w:val="00354DD2"/>
    <w:rsid w:val="00355812"/>
    <w:rsid w:val="003620A1"/>
    <w:rsid w:val="00363ABF"/>
    <w:rsid w:val="00371119"/>
    <w:rsid w:val="00374D01"/>
    <w:rsid w:val="003762F6"/>
    <w:rsid w:val="00376FA6"/>
    <w:rsid w:val="0038228C"/>
    <w:rsid w:val="00394E03"/>
    <w:rsid w:val="003A43A0"/>
    <w:rsid w:val="003D3316"/>
    <w:rsid w:val="003D6E25"/>
    <w:rsid w:val="003E7F89"/>
    <w:rsid w:val="00405AB5"/>
    <w:rsid w:val="0040787F"/>
    <w:rsid w:val="00412C24"/>
    <w:rsid w:val="00432523"/>
    <w:rsid w:val="004355AE"/>
    <w:rsid w:val="00435CA8"/>
    <w:rsid w:val="00441F44"/>
    <w:rsid w:val="0045233E"/>
    <w:rsid w:val="00456B5C"/>
    <w:rsid w:val="00460A6E"/>
    <w:rsid w:val="00461FA2"/>
    <w:rsid w:val="00477077"/>
    <w:rsid w:val="00481324"/>
    <w:rsid w:val="00497A5F"/>
    <w:rsid w:val="004B7C7E"/>
    <w:rsid w:val="004C05F9"/>
    <w:rsid w:val="004D48CB"/>
    <w:rsid w:val="004D6A60"/>
    <w:rsid w:val="004D7EBC"/>
    <w:rsid w:val="004E02FF"/>
    <w:rsid w:val="004E2A7C"/>
    <w:rsid w:val="004E4FAD"/>
    <w:rsid w:val="004E6016"/>
    <w:rsid w:val="004F0B0E"/>
    <w:rsid w:val="004F2577"/>
    <w:rsid w:val="00502C5B"/>
    <w:rsid w:val="00503D84"/>
    <w:rsid w:val="00516C0E"/>
    <w:rsid w:val="00520E32"/>
    <w:rsid w:val="0053467E"/>
    <w:rsid w:val="0054519B"/>
    <w:rsid w:val="005503A0"/>
    <w:rsid w:val="00556C77"/>
    <w:rsid w:val="00565926"/>
    <w:rsid w:val="005668B4"/>
    <w:rsid w:val="00577540"/>
    <w:rsid w:val="0058196F"/>
    <w:rsid w:val="005845B6"/>
    <w:rsid w:val="00597098"/>
    <w:rsid w:val="00597283"/>
    <w:rsid w:val="005A6C6E"/>
    <w:rsid w:val="005B57A4"/>
    <w:rsid w:val="005D0F73"/>
    <w:rsid w:val="005D5A57"/>
    <w:rsid w:val="005D67CC"/>
    <w:rsid w:val="005D7C9E"/>
    <w:rsid w:val="005F7C58"/>
    <w:rsid w:val="00600D90"/>
    <w:rsid w:val="00601217"/>
    <w:rsid w:val="00601703"/>
    <w:rsid w:val="006073B7"/>
    <w:rsid w:val="00616F85"/>
    <w:rsid w:val="00620FFC"/>
    <w:rsid w:val="00624721"/>
    <w:rsid w:val="00641308"/>
    <w:rsid w:val="00644BFF"/>
    <w:rsid w:val="006719CE"/>
    <w:rsid w:val="006739E7"/>
    <w:rsid w:val="006800F2"/>
    <w:rsid w:val="00680D69"/>
    <w:rsid w:val="00683F57"/>
    <w:rsid w:val="00685892"/>
    <w:rsid w:val="00685A6F"/>
    <w:rsid w:val="006930E0"/>
    <w:rsid w:val="006957AC"/>
    <w:rsid w:val="006A52A7"/>
    <w:rsid w:val="006B37A1"/>
    <w:rsid w:val="006B5575"/>
    <w:rsid w:val="006B619F"/>
    <w:rsid w:val="006C2E13"/>
    <w:rsid w:val="006C5C07"/>
    <w:rsid w:val="006C5FC2"/>
    <w:rsid w:val="006C6220"/>
    <w:rsid w:val="006D7979"/>
    <w:rsid w:val="006E3FAF"/>
    <w:rsid w:val="006E5E99"/>
    <w:rsid w:val="006E73A3"/>
    <w:rsid w:val="007055E4"/>
    <w:rsid w:val="0073537A"/>
    <w:rsid w:val="00737C08"/>
    <w:rsid w:val="00743958"/>
    <w:rsid w:val="00745D84"/>
    <w:rsid w:val="007466A5"/>
    <w:rsid w:val="0075295C"/>
    <w:rsid w:val="007548FC"/>
    <w:rsid w:val="0076206F"/>
    <w:rsid w:val="00767953"/>
    <w:rsid w:val="00776FB3"/>
    <w:rsid w:val="00781224"/>
    <w:rsid w:val="00782081"/>
    <w:rsid w:val="00784EAD"/>
    <w:rsid w:val="00792E1B"/>
    <w:rsid w:val="007A0B42"/>
    <w:rsid w:val="007A7C48"/>
    <w:rsid w:val="007B254B"/>
    <w:rsid w:val="007B2F52"/>
    <w:rsid w:val="007C331A"/>
    <w:rsid w:val="007C5323"/>
    <w:rsid w:val="007D1712"/>
    <w:rsid w:val="007E5915"/>
    <w:rsid w:val="007E6CE5"/>
    <w:rsid w:val="007F79D8"/>
    <w:rsid w:val="00803219"/>
    <w:rsid w:val="0081287E"/>
    <w:rsid w:val="00814A05"/>
    <w:rsid w:val="00817B4B"/>
    <w:rsid w:val="0082088A"/>
    <w:rsid w:val="00822EC4"/>
    <w:rsid w:val="00830580"/>
    <w:rsid w:val="008317BF"/>
    <w:rsid w:val="00831D4B"/>
    <w:rsid w:val="00836338"/>
    <w:rsid w:val="008371B6"/>
    <w:rsid w:val="008446BB"/>
    <w:rsid w:val="00851D53"/>
    <w:rsid w:val="008779DA"/>
    <w:rsid w:val="0088438C"/>
    <w:rsid w:val="00890D24"/>
    <w:rsid w:val="008A03F5"/>
    <w:rsid w:val="008A5C34"/>
    <w:rsid w:val="008B2DB5"/>
    <w:rsid w:val="008B6371"/>
    <w:rsid w:val="008D4986"/>
    <w:rsid w:val="008D7ED6"/>
    <w:rsid w:val="008E4F40"/>
    <w:rsid w:val="00924AFB"/>
    <w:rsid w:val="00927325"/>
    <w:rsid w:val="0093061D"/>
    <w:rsid w:val="0093390D"/>
    <w:rsid w:val="00934A3D"/>
    <w:rsid w:val="009410F1"/>
    <w:rsid w:val="00941A4E"/>
    <w:rsid w:val="009513B0"/>
    <w:rsid w:val="0095698B"/>
    <w:rsid w:val="009900D9"/>
    <w:rsid w:val="009B12C8"/>
    <w:rsid w:val="009B5CEA"/>
    <w:rsid w:val="009C2210"/>
    <w:rsid w:val="009C341D"/>
    <w:rsid w:val="009C700E"/>
    <w:rsid w:val="00A0121C"/>
    <w:rsid w:val="00A01DFE"/>
    <w:rsid w:val="00A02AFA"/>
    <w:rsid w:val="00A22AAE"/>
    <w:rsid w:val="00A31DC4"/>
    <w:rsid w:val="00A37439"/>
    <w:rsid w:val="00A42773"/>
    <w:rsid w:val="00A4468F"/>
    <w:rsid w:val="00A44994"/>
    <w:rsid w:val="00A63B6A"/>
    <w:rsid w:val="00A65DF1"/>
    <w:rsid w:val="00A66E0A"/>
    <w:rsid w:val="00A70CB8"/>
    <w:rsid w:val="00A77BC5"/>
    <w:rsid w:val="00A84F51"/>
    <w:rsid w:val="00A90AFB"/>
    <w:rsid w:val="00A92F79"/>
    <w:rsid w:val="00AA1A22"/>
    <w:rsid w:val="00AA37A8"/>
    <w:rsid w:val="00AA7A91"/>
    <w:rsid w:val="00AB7E28"/>
    <w:rsid w:val="00AC5AF7"/>
    <w:rsid w:val="00AD6A82"/>
    <w:rsid w:val="00AE39D4"/>
    <w:rsid w:val="00AE6C93"/>
    <w:rsid w:val="00AF1EE8"/>
    <w:rsid w:val="00AF27F9"/>
    <w:rsid w:val="00AF36E0"/>
    <w:rsid w:val="00B03FAA"/>
    <w:rsid w:val="00B14DFC"/>
    <w:rsid w:val="00B15BFE"/>
    <w:rsid w:val="00B1614D"/>
    <w:rsid w:val="00B21F71"/>
    <w:rsid w:val="00B22777"/>
    <w:rsid w:val="00B23139"/>
    <w:rsid w:val="00B319B1"/>
    <w:rsid w:val="00B4080C"/>
    <w:rsid w:val="00B5152B"/>
    <w:rsid w:val="00B51A19"/>
    <w:rsid w:val="00B531BE"/>
    <w:rsid w:val="00B55215"/>
    <w:rsid w:val="00B55993"/>
    <w:rsid w:val="00B56E77"/>
    <w:rsid w:val="00B6280D"/>
    <w:rsid w:val="00B766CF"/>
    <w:rsid w:val="00B7705A"/>
    <w:rsid w:val="00B77076"/>
    <w:rsid w:val="00B805C0"/>
    <w:rsid w:val="00B92054"/>
    <w:rsid w:val="00B92CD0"/>
    <w:rsid w:val="00B92D2C"/>
    <w:rsid w:val="00BA162C"/>
    <w:rsid w:val="00BA59F8"/>
    <w:rsid w:val="00BA7613"/>
    <w:rsid w:val="00BB52E7"/>
    <w:rsid w:val="00BB7832"/>
    <w:rsid w:val="00BB797B"/>
    <w:rsid w:val="00BC226B"/>
    <w:rsid w:val="00BC228A"/>
    <w:rsid w:val="00BD08A9"/>
    <w:rsid w:val="00BD6517"/>
    <w:rsid w:val="00BE4D70"/>
    <w:rsid w:val="00BE5FFF"/>
    <w:rsid w:val="00BE6FA6"/>
    <w:rsid w:val="00BE727C"/>
    <w:rsid w:val="00BF1B3D"/>
    <w:rsid w:val="00BF6237"/>
    <w:rsid w:val="00C00CC9"/>
    <w:rsid w:val="00C05EE7"/>
    <w:rsid w:val="00C071C6"/>
    <w:rsid w:val="00C26016"/>
    <w:rsid w:val="00C302AE"/>
    <w:rsid w:val="00C3254C"/>
    <w:rsid w:val="00C34FE9"/>
    <w:rsid w:val="00C35B7C"/>
    <w:rsid w:val="00C366D2"/>
    <w:rsid w:val="00C43C8C"/>
    <w:rsid w:val="00C4556C"/>
    <w:rsid w:val="00C54ADE"/>
    <w:rsid w:val="00C66BE5"/>
    <w:rsid w:val="00C72DAC"/>
    <w:rsid w:val="00C83A12"/>
    <w:rsid w:val="00C85A40"/>
    <w:rsid w:val="00C92069"/>
    <w:rsid w:val="00C95290"/>
    <w:rsid w:val="00C97826"/>
    <w:rsid w:val="00CA19AE"/>
    <w:rsid w:val="00CA3C3D"/>
    <w:rsid w:val="00CA5055"/>
    <w:rsid w:val="00CA566E"/>
    <w:rsid w:val="00CB6439"/>
    <w:rsid w:val="00CD2404"/>
    <w:rsid w:val="00CD626E"/>
    <w:rsid w:val="00CD67D8"/>
    <w:rsid w:val="00CE0A4F"/>
    <w:rsid w:val="00CE3BD6"/>
    <w:rsid w:val="00CE4A7F"/>
    <w:rsid w:val="00CE6F24"/>
    <w:rsid w:val="00CF10D3"/>
    <w:rsid w:val="00CF3253"/>
    <w:rsid w:val="00CF5640"/>
    <w:rsid w:val="00CF6264"/>
    <w:rsid w:val="00CF7FFE"/>
    <w:rsid w:val="00D018A1"/>
    <w:rsid w:val="00D05187"/>
    <w:rsid w:val="00D10CC6"/>
    <w:rsid w:val="00D41C3E"/>
    <w:rsid w:val="00D45C99"/>
    <w:rsid w:val="00D5187A"/>
    <w:rsid w:val="00D63B6C"/>
    <w:rsid w:val="00D678DD"/>
    <w:rsid w:val="00D819D3"/>
    <w:rsid w:val="00D82BBF"/>
    <w:rsid w:val="00D86BF1"/>
    <w:rsid w:val="00D87EC6"/>
    <w:rsid w:val="00D97E69"/>
    <w:rsid w:val="00DA36D1"/>
    <w:rsid w:val="00DB1C54"/>
    <w:rsid w:val="00DC3548"/>
    <w:rsid w:val="00DC6A3F"/>
    <w:rsid w:val="00DE46D3"/>
    <w:rsid w:val="00DF34EE"/>
    <w:rsid w:val="00E17E66"/>
    <w:rsid w:val="00E24623"/>
    <w:rsid w:val="00E275C3"/>
    <w:rsid w:val="00E54167"/>
    <w:rsid w:val="00E63EB1"/>
    <w:rsid w:val="00E679EE"/>
    <w:rsid w:val="00E72CDF"/>
    <w:rsid w:val="00E7408A"/>
    <w:rsid w:val="00E77C41"/>
    <w:rsid w:val="00E8104B"/>
    <w:rsid w:val="00E9411E"/>
    <w:rsid w:val="00EA494C"/>
    <w:rsid w:val="00EA7BF5"/>
    <w:rsid w:val="00EB2CCB"/>
    <w:rsid w:val="00EC1C60"/>
    <w:rsid w:val="00EC37EC"/>
    <w:rsid w:val="00EC7832"/>
    <w:rsid w:val="00ED2AC9"/>
    <w:rsid w:val="00ED4A7D"/>
    <w:rsid w:val="00ED5E21"/>
    <w:rsid w:val="00EE4129"/>
    <w:rsid w:val="00EE50B4"/>
    <w:rsid w:val="00EE6FE1"/>
    <w:rsid w:val="00EF2E6C"/>
    <w:rsid w:val="00F06985"/>
    <w:rsid w:val="00F06F65"/>
    <w:rsid w:val="00F150CE"/>
    <w:rsid w:val="00F210E9"/>
    <w:rsid w:val="00F24549"/>
    <w:rsid w:val="00F27CB6"/>
    <w:rsid w:val="00F27F4E"/>
    <w:rsid w:val="00F3413F"/>
    <w:rsid w:val="00F34141"/>
    <w:rsid w:val="00F371D8"/>
    <w:rsid w:val="00F44DD7"/>
    <w:rsid w:val="00F53046"/>
    <w:rsid w:val="00F54BB1"/>
    <w:rsid w:val="00F63755"/>
    <w:rsid w:val="00F64D7F"/>
    <w:rsid w:val="00F65420"/>
    <w:rsid w:val="00F65CA4"/>
    <w:rsid w:val="00F73F88"/>
    <w:rsid w:val="00F74BA0"/>
    <w:rsid w:val="00F91964"/>
    <w:rsid w:val="00F93216"/>
    <w:rsid w:val="00FA3117"/>
    <w:rsid w:val="00FA5429"/>
    <w:rsid w:val="00FB23D3"/>
    <w:rsid w:val="00FB2980"/>
    <w:rsid w:val="00FB2987"/>
    <w:rsid w:val="00FB78FF"/>
    <w:rsid w:val="00FC0CC1"/>
    <w:rsid w:val="00FC1D0F"/>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32FB"/>
  <w15:chartTrackingRefBased/>
  <w15:docId w15:val="{881DF92A-0166-4446-BFF7-AD3695E6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DB5"/>
    <w:pPr>
      <w:ind w:left="720"/>
      <w:contextualSpacing/>
    </w:pPr>
  </w:style>
  <w:style w:type="paragraph" w:styleId="FootnoteText">
    <w:name w:val="footnote text"/>
    <w:basedOn w:val="Normal"/>
    <w:link w:val="FootnoteTextChar"/>
    <w:uiPriority w:val="99"/>
    <w:unhideWhenUsed/>
    <w:rsid w:val="00D97E69"/>
    <w:pPr>
      <w:spacing w:after="0" w:line="240" w:lineRule="auto"/>
    </w:pPr>
    <w:rPr>
      <w:sz w:val="20"/>
      <w:szCs w:val="20"/>
    </w:rPr>
  </w:style>
  <w:style w:type="character" w:customStyle="1" w:styleId="FootnoteTextChar">
    <w:name w:val="Footnote Text Char"/>
    <w:basedOn w:val="DefaultParagraphFont"/>
    <w:link w:val="FootnoteText"/>
    <w:uiPriority w:val="99"/>
    <w:rsid w:val="00D97E69"/>
    <w:rPr>
      <w:sz w:val="20"/>
      <w:szCs w:val="20"/>
    </w:rPr>
  </w:style>
  <w:style w:type="character" w:styleId="FootnoteReference">
    <w:name w:val="footnote reference"/>
    <w:basedOn w:val="DefaultParagraphFont"/>
    <w:uiPriority w:val="99"/>
    <w:semiHidden/>
    <w:unhideWhenUsed/>
    <w:rsid w:val="00D97E69"/>
    <w:rPr>
      <w:vertAlign w:val="superscript"/>
    </w:rPr>
  </w:style>
  <w:style w:type="paragraph" w:styleId="EndnoteText">
    <w:name w:val="endnote text"/>
    <w:basedOn w:val="Normal"/>
    <w:link w:val="EndnoteTextChar"/>
    <w:uiPriority w:val="99"/>
    <w:unhideWhenUsed/>
    <w:rsid w:val="000C24B0"/>
    <w:pPr>
      <w:spacing w:after="0" w:line="240" w:lineRule="auto"/>
    </w:pPr>
    <w:rPr>
      <w:sz w:val="20"/>
      <w:szCs w:val="20"/>
    </w:rPr>
  </w:style>
  <w:style w:type="character" w:customStyle="1" w:styleId="EndnoteTextChar">
    <w:name w:val="Endnote Text Char"/>
    <w:basedOn w:val="DefaultParagraphFont"/>
    <w:link w:val="EndnoteText"/>
    <w:uiPriority w:val="99"/>
    <w:rsid w:val="000C24B0"/>
    <w:rPr>
      <w:sz w:val="20"/>
      <w:szCs w:val="20"/>
    </w:rPr>
  </w:style>
  <w:style w:type="character" w:styleId="EndnoteReference">
    <w:name w:val="endnote reference"/>
    <w:basedOn w:val="DefaultParagraphFont"/>
    <w:uiPriority w:val="99"/>
    <w:semiHidden/>
    <w:unhideWhenUsed/>
    <w:rsid w:val="000C24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565623">
      <w:bodyDiv w:val="1"/>
      <w:marLeft w:val="0"/>
      <w:marRight w:val="0"/>
      <w:marTop w:val="0"/>
      <w:marBottom w:val="0"/>
      <w:divBdr>
        <w:top w:val="none" w:sz="0" w:space="0" w:color="auto"/>
        <w:left w:val="none" w:sz="0" w:space="0" w:color="auto"/>
        <w:bottom w:val="none" w:sz="0" w:space="0" w:color="auto"/>
        <w:right w:val="none" w:sz="0" w:space="0" w:color="auto"/>
      </w:divBdr>
    </w:div>
    <w:div w:id="148963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A5A5F115699347A7F2FB1ED10FCB3E" ma:contentTypeVersion="10" ma:contentTypeDescription="Create a new document." ma:contentTypeScope="" ma:versionID="7ac6d1ac8aa1183c2dae76fdda966905">
  <xsd:schema xmlns:xsd="http://www.w3.org/2001/XMLSchema" xmlns:xs="http://www.w3.org/2001/XMLSchema" xmlns:p="http://schemas.microsoft.com/office/2006/metadata/properties" xmlns:ns1="http://schemas.microsoft.com/sharepoint/v3" xmlns:ns3="570a3d8e-1289-4d00-9824-ef7ac9331d49" targetNamespace="http://schemas.microsoft.com/office/2006/metadata/properties" ma:root="true" ma:fieldsID="1dcca44d29897b9deef425bd0841478b" ns1:_="" ns3:_="">
    <xsd:import namespace="http://schemas.microsoft.com/sharepoint/v3"/>
    <xsd:import namespace="570a3d8e-1289-4d00-9824-ef7ac9331d49"/>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0a3d8e-1289-4d00-9824-ef7ac9331d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A4B7E-0CC5-4A63-9CD6-ACDA3F2E2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0a3d8e-1289-4d00-9824-ef7ac9331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9441E-6F36-4933-A47D-F340FD0749D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E775478-67C3-4012-9D66-E80A5E3043B4}">
  <ds:schemaRefs>
    <ds:schemaRef ds:uri="http://schemas.microsoft.com/sharepoint/v3/contenttype/forms"/>
  </ds:schemaRefs>
</ds:datastoreItem>
</file>

<file path=customXml/itemProps4.xml><?xml version="1.0" encoding="utf-8"?>
<ds:datastoreItem xmlns:ds="http://schemas.openxmlformats.org/officeDocument/2006/customXml" ds:itemID="{29EB8E10-F578-488A-8F91-35181069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MARCUS</dc:creator>
  <cp:keywords/>
  <dc:description/>
  <cp:lastModifiedBy>Hon. William Donnino</cp:lastModifiedBy>
  <cp:revision>87</cp:revision>
  <dcterms:created xsi:type="dcterms:W3CDTF">2020-04-13T22:39:00Z</dcterms:created>
  <dcterms:modified xsi:type="dcterms:W3CDTF">2020-05-03T18:05:00Z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0x0101009DA5A5F115699347A7F2FB1ED10FCB3E</vt:lpwstr>
  </property>
</Properties>
</file>