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E287F2" w14:textId="77777777" w:rsidR="006D3AC6" w:rsidRPr="00154DBC" w:rsidRDefault="006D3AC6" w:rsidP="00154D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b/>
          <w:bCs/>
          <w:sz w:val="28"/>
          <w:szCs w:val="28"/>
        </w:rPr>
      </w:pPr>
      <w:r w:rsidRPr="00154DBC">
        <w:rPr>
          <w:sz w:val="28"/>
          <w:szCs w:val="28"/>
          <w:lang w:val="en-CA"/>
        </w:rPr>
        <w:fldChar w:fldCharType="begin"/>
      </w:r>
      <w:r w:rsidRPr="00154DBC">
        <w:rPr>
          <w:sz w:val="28"/>
          <w:szCs w:val="28"/>
          <w:lang w:val="en-CA"/>
        </w:rPr>
        <w:instrText xml:space="preserve"> SEQ CHAPTER \h \r 1</w:instrText>
      </w:r>
      <w:r w:rsidRPr="00154DBC">
        <w:rPr>
          <w:sz w:val="28"/>
          <w:szCs w:val="28"/>
          <w:lang w:val="en-CA"/>
        </w:rPr>
        <w:fldChar w:fldCharType="end"/>
      </w:r>
      <w:r w:rsidRPr="00154DBC">
        <w:rPr>
          <w:b/>
          <w:bCs/>
          <w:sz w:val="28"/>
          <w:szCs w:val="28"/>
        </w:rPr>
        <w:t>1.0</w:t>
      </w:r>
      <w:r w:rsidR="002D4FAD">
        <w:rPr>
          <w:b/>
          <w:bCs/>
          <w:sz w:val="28"/>
          <w:szCs w:val="28"/>
        </w:rPr>
        <w:t>9.</w:t>
      </w:r>
      <w:r w:rsidRPr="00154DBC">
        <w:rPr>
          <w:b/>
          <w:bCs/>
          <w:sz w:val="28"/>
          <w:szCs w:val="28"/>
        </w:rPr>
        <w:t xml:space="preserve"> Limited Admissibility of Relevant Evidence</w:t>
      </w:r>
    </w:p>
    <w:p w14:paraId="4F862767" w14:textId="77777777" w:rsidR="00154DBC" w:rsidRPr="00154DBC" w:rsidRDefault="00154DBC" w:rsidP="00154D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b/>
          <w:bCs/>
          <w:sz w:val="28"/>
          <w:szCs w:val="28"/>
        </w:rPr>
      </w:pPr>
    </w:p>
    <w:p w14:paraId="68A2881C" w14:textId="77777777" w:rsidR="006D3AC6" w:rsidRPr="00154DBC" w:rsidRDefault="006D3AC6" w:rsidP="00154DBC">
      <w:pPr>
        <w:pStyle w:val="paragraph"/>
        <w:widowControl/>
        <w:tabs>
          <w:tab w:val="left" w:pos="720"/>
          <w:tab w:val="left" w:pos="1440"/>
          <w:tab w:val="left" w:pos="2160"/>
          <w:tab w:val="left" w:pos="2880"/>
          <w:tab w:val="left" w:pos="3600"/>
          <w:tab w:val="left" w:pos="4320"/>
          <w:tab w:val="left" w:pos="5040"/>
          <w:tab w:val="left" w:pos="5760"/>
          <w:tab w:val="left" w:pos="6480"/>
        </w:tabs>
        <w:ind w:left="720" w:right="720"/>
        <w:rPr>
          <w:b/>
          <w:bCs/>
          <w:sz w:val="28"/>
          <w:szCs w:val="28"/>
        </w:rPr>
      </w:pPr>
      <w:r w:rsidRPr="00154DBC">
        <w:rPr>
          <w:b/>
          <w:bCs/>
          <w:sz w:val="28"/>
          <w:szCs w:val="28"/>
        </w:rPr>
        <w:t>(1) Evidence may be admitted for one purpose but not for another, or as to one party but not as to another.</w:t>
      </w:r>
    </w:p>
    <w:p w14:paraId="3E4C9761" w14:textId="77777777" w:rsidR="006D3AC6" w:rsidRPr="00154DBC" w:rsidRDefault="006D3AC6" w:rsidP="00154DBC">
      <w:pPr>
        <w:pStyle w:val="paragraph"/>
        <w:widowControl/>
        <w:tabs>
          <w:tab w:val="left" w:pos="720"/>
          <w:tab w:val="left" w:pos="1440"/>
          <w:tab w:val="left" w:pos="2160"/>
          <w:tab w:val="left" w:pos="2880"/>
          <w:tab w:val="left" w:pos="3600"/>
          <w:tab w:val="left" w:pos="4320"/>
          <w:tab w:val="left" w:pos="5040"/>
          <w:tab w:val="left" w:pos="5760"/>
          <w:tab w:val="left" w:pos="6480"/>
        </w:tabs>
        <w:ind w:left="720" w:right="720"/>
        <w:rPr>
          <w:b/>
          <w:bCs/>
          <w:sz w:val="28"/>
          <w:szCs w:val="28"/>
        </w:rPr>
      </w:pPr>
    </w:p>
    <w:p w14:paraId="1B582BB9" w14:textId="77777777" w:rsidR="006D3AC6" w:rsidRPr="00154DBC" w:rsidRDefault="006D3AC6" w:rsidP="00154DBC">
      <w:pPr>
        <w:pStyle w:val="paragraph"/>
        <w:widowControl/>
        <w:tabs>
          <w:tab w:val="left" w:pos="720"/>
          <w:tab w:val="left" w:pos="1440"/>
          <w:tab w:val="left" w:pos="2160"/>
          <w:tab w:val="left" w:pos="2880"/>
          <w:tab w:val="left" w:pos="3600"/>
          <w:tab w:val="left" w:pos="4320"/>
          <w:tab w:val="left" w:pos="5040"/>
          <w:tab w:val="left" w:pos="5760"/>
          <w:tab w:val="left" w:pos="6480"/>
        </w:tabs>
        <w:ind w:left="720" w:right="720"/>
        <w:rPr>
          <w:b/>
          <w:bCs/>
          <w:sz w:val="28"/>
          <w:szCs w:val="28"/>
        </w:rPr>
      </w:pPr>
      <w:r w:rsidRPr="00154DBC">
        <w:rPr>
          <w:b/>
          <w:bCs/>
          <w:sz w:val="28"/>
          <w:szCs w:val="28"/>
        </w:rPr>
        <w:t>(2) In a trial by jury, the court shall provide an instruction on the scope of the evidence to the jury, as may be necessary or required by request of a party or by statute or decisional law.</w:t>
      </w:r>
    </w:p>
    <w:p w14:paraId="209216A0" w14:textId="77777777" w:rsidR="006D3AC6" w:rsidRPr="00154DBC" w:rsidRDefault="006D3AC6" w:rsidP="00154DBC">
      <w:pPr>
        <w:pStyle w:val="paragraph"/>
        <w:widowControl/>
        <w:tabs>
          <w:tab w:val="left" w:pos="432"/>
          <w:tab w:val="left" w:pos="720"/>
          <w:tab w:val="left" w:pos="1440"/>
          <w:tab w:val="left" w:pos="2160"/>
          <w:tab w:val="left" w:pos="2880"/>
          <w:tab w:val="left" w:pos="3600"/>
          <w:tab w:val="left" w:pos="4320"/>
          <w:tab w:val="left" w:pos="5040"/>
          <w:tab w:val="left" w:pos="5760"/>
          <w:tab w:val="left" w:pos="6480"/>
          <w:tab w:val="left" w:pos="7200"/>
          <w:tab w:val="left" w:pos="7344"/>
        </w:tabs>
        <w:ind w:right="576"/>
        <w:rPr>
          <w:b/>
          <w:bCs/>
          <w:sz w:val="28"/>
          <w:szCs w:val="28"/>
        </w:rPr>
      </w:pPr>
    </w:p>
    <w:p w14:paraId="1F7AB75E" w14:textId="77777777" w:rsidR="006D3AC6" w:rsidRPr="00154DBC" w:rsidRDefault="006D3AC6" w:rsidP="00154DBC">
      <w:pPr>
        <w:pStyle w:val="paragraph"/>
        <w:widowControl/>
        <w:tabs>
          <w:tab w:val="left" w:pos="2592"/>
          <w:tab w:val="left" w:pos="2880"/>
          <w:tab w:val="left" w:pos="3600"/>
          <w:tab w:val="left" w:pos="4320"/>
          <w:tab w:val="left" w:pos="5040"/>
          <w:tab w:val="left" w:pos="5760"/>
          <w:tab w:val="left" w:pos="6480"/>
          <w:tab w:val="left" w:pos="7200"/>
          <w:tab w:val="left" w:pos="7344"/>
        </w:tabs>
        <w:ind w:right="576"/>
        <w:jc w:val="center"/>
      </w:pPr>
      <w:r w:rsidRPr="00154DBC">
        <w:rPr>
          <w:rStyle w:val="normaltextru"/>
          <w:b/>
          <w:bCs/>
        </w:rPr>
        <w:t>N</w:t>
      </w:r>
      <w:r w:rsidR="00154DBC" w:rsidRPr="00154DBC">
        <w:rPr>
          <w:rStyle w:val="normaltextru"/>
          <w:b/>
          <w:bCs/>
        </w:rPr>
        <w:t>ote</w:t>
      </w:r>
    </w:p>
    <w:p w14:paraId="41D95050" w14:textId="77777777" w:rsidR="006D3AC6" w:rsidRPr="00154DBC" w:rsidRDefault="006D3AC6" w:rsidP="00154DBC">
      <w:pPr>
        <w:pStyle w:val="paragraph"/>
        <w:widowControl/>
        <w:tabs>
          <w:tab w:val="left" w:pos="2592"/>
          <w:tab w:val="left" w:pos="2880"/>
          <w:tab w:val="left" w:pos="3600"/>
          <w:tab w:val="left" w:pos="4320"/>
          <w:tab w:val="left" w:pos="5040"/>
          <w:tab w:val="left" w:pos="5760"/>
          <w:tab w:val="left" w:pos="6480"/>
          <w:tab w:val="left" w:pos="7200"/>
          <w:tab w:val="left" w:pos="7344"/>
        </w:tabs>
        <w:ind w:right="576"/>
      </w:pPr>
    </w:p>
    <w:p w14:paraId="48EAEB9F" w14:textId="77777777" w:rsidR="006D3AC6" w:rsidRPr="00154DBC" w:rsidRDefault="006D3AC6" w:rsidP="00154DBC">
      <w:pPr>
        <w:pStyle w:val="paragraph"/>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ind w:firstLine="720"/>
      </w:pPr>
      <w:r w:rsidRPr="00154DBC">
        <w:rPr>
          <w:rStyle w:val="normaltextru"/>
          <w:b/>
        </w:rPr>
        <w:t>Subdivision (1)</w:t>
      </w:r>
      <w:r w:rsidRPr="00154DBC">
        <w:rPr>
          <w:rStyle w:val="normaltextru"/>
        </w:rPr>
        <w:t>. This rule is derived from Court of Appeals precedent holding that evidence is admissible as to any party or for any relevant purpose even though it may be inadmissible as to another party or for another purpose. In such circumstances, jury instructions as to the limited purpose for which the evidence may be considered are appropriate. (</w:t>
      </w:r>
      <w:r w:rsidRPr="00154DBC">
        <w:rPr>
          <w:rStyle w:val="normaltextru"/>
          <w:i/>
          <w:iCs/>
        </w:rPr>
        <w:t>Kish v Board of Educ. of City of N.Y.</w:t>
      </w:r>
      <w:r w:rsidR="00905642">
        <w:rPr>
          <w:rStyle w:val="normaltextru"/>
        </w:rPr>
        <w:t xml:space="preserve">, </w:t>
      </w:r>
      <w:r w:rsidRPr="00154DBC">
        <w:rPr>
          <w:rStyle w:val="normaltextru"/>
        </w:rPr>
        <w:t>76 NY2d 379, 385</w:t>
      </w:r>
      <w:r w:rsidRPr="00154DBC">
        <w:rPr>
          <w:color w:val="212121"/>
        </w:rPr>
        <w:t xml:space="preserve"> [1990] [limited purpose]; </w:t>
      </w:r>
      <w:r w:rsidRPr="00154DBC">
        <w:rPr>
          <w:i/>
          <w:iCs/>
          <w:color w:val="212121"/>
        </w:rPr>
        <w:t>People v Williams</w:t>
      </w:r>
      <w:r w:rsidRPr="00154DBC">
        <w:rPr>
          <w:color w:val="212121"/>
        </w:rPr>
        <w:t xml:space="preserve">, 50 NY2d 996, 998 [1980] [limited purpose]; </w:t>
      </w:r>
      <w:r w:rsidRPr="00154DBC">
        <w:rPr>
          <w:i/>
          <w:iCs/>
        </w:rPr>
        <w:t>People v Marshall</w:t>
      </w:r>
      <w:r w:rsidRPr="00154DBC">
        <w:t>, 306 NY 223, 227 [1954] [admissible a</w:t>
      </w:r>
      <w:r w:rsidR="00905642">
        <w:t>s to one defendant but not a co</w:t>
      </w:r>
      <w:r w:rsidRPr="00154DBC">
        <w:t>defendant</w:t>
      </w:r>
      <w:bookmarkStart w:id="0" w:name="_GoBack"/>
      <w:bookmarkEnd w:id="0"/>
      <w:r w:rsidRPr="00154DBC">
        <w:t xml:space="preserve">].) </w:t>
      </w:r>
    </w:p>
    <w:p w14:paraId="775E1570" w14:textId="77777777" w:rsidR="006D3AC6" w:rsidRPr="00154DBC" w:rsidRDefault="006D3AC6" w:rsidP="00154DBC">
      <w:pPr>
        <w:pStyle w:val="paragraph"/>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ind w:firstLine="720"/>
      </w:pPr>
    </w:p>
    <w:p w14:paraId="6F69725B" w14:textId="77777777" w:rsidR="006D3AC6" w:rsidRPr="00154DBC" w:rsidRDefault="006D3AC6" w:rsidP="00154DBC">
      <w:pPr>
        <w:pStyle w:val="paragraph"/>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ind w:firstLine="720"/>
      </w:pPr>
      <w:r w:rsidRPr="00154DBC">
        <w:rPr>
          <w:b/>
          <w:bCs/>
        </w:rPr>
        <w:t>Subdivision (2)</w:t>
      </w:r>
      <w:r w:rsidRPr="00154DBC">
        <w:t>. The request for a limiting instruction may be made when the evidence is admitted and at the close of trial for inclusion in the court’s charge to the jury. (</w:t>
      </w:r>
      <w:r w:rsidRPr="00154DBC">
        <w:rPr>
          <w:i/>
          <w:iCs/>
        </w:rPr>
        <w:t>Williams</w:t>
      </w:r>
      <w:r w:rsidRPr="00154DBC">
        <w:t>, 50 NY2d at 998.)</w:t>
      </w:r>
    </w:p>
    <w:sectPr w:rsidR="006D3AC6" w:rsidRPr="00154DBC" w:rsidSect="00154DBC">
      <w:type w:val="continuous"/>
      <w:pgSz w:w="12240" w:h="15840"/>
      <w:pgMar w:top="1440" w:right="2160" w:bottom="1440" w:left="216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402"/>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DBC"/>
    <w:rsid w:val="00154DBC"/>
    <w:rsid w:val="00207FC6"/>
    <w:rsid w:val="002D4FAD"/>
    <w:rsid w:val="004169EB"/>
    <w:rsid w:val="00575FC9"/>
    <w:rsid w:val="006D3AC6"/>
    <w:rsid w:val="00905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654856"/>
  <w14:defaultImageDpi w14:val="0"/>
  <w15:docId w15:val="{51B303D6-AB73-4DE4-BD13-708E2326A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op">
    <w:name w:val="eop"/>
    <w:uiPriority w:val="99"/>
  </w:style>
  <w:style w:type="character" w:customStyle="1" w:styleId="normaltextru">
    <w:name w:val="normaltextru"/>
    <w:uiPriority w:val="99"/>
  </w:style>
  <w:style w:type="paragraph" w:customStyle="1" w:styleId="paragraph">
    <w:name w:val="paragraph"/>
    <w:uiPriority w:val="99"/>
    <w:pPr>
      <w:widowControl w:val="0"/>
      <w:autoSpaceDE w:val="0"/>
      <w:autoSpaceDN w:val="0"/>
      <w:adjustRightInd w:val="0"/>
      <w:spacing w:after="0" w:line="240" w:lineRule="auto"/>
      <w:jc w:val="both"/>
    </w:pPr>
    <w:rPr>
      <w:rFonts w:ascii="Times New Roman" w:hAnsi="Times New Roman"/>
      <w:sz w:val="24"/>
      <w:szCs w:val="24"/>
    </w:rPr>
  </w:style>
  <w:style w:type="paragraph" w:styleId="BalloonText">
    <w:name w:val="Balloon Text"/>
    <w:basedOn w:val="Normal"/>
    <w:link w:val="BalloonTextChar"/>
    <w:uiPriority w:val="99"/>
    <w:semiHidden/>
    <w:unhideWhenUsed/>
    <w:rsid w:val="002D4FAD"/>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2D4FAD"/>
    <w:rPr>
      <w:rFonts w:ascii="Segoe UI" w:hAnsi="Segoe UI" w:cs="Segoe UI"/>
      <w:sz w:val="18"/>
      <w:szCs w:val="18"/>
    </w:rPr>
  </w:style>
  <w:style w:type="character" w:styleId="CommentReference">
    <w:name w:val="annotation reference"/>
    <w:basedOn w:val="DefaultParagraphFont"/>
    <w:uiPriority w:val="99"/>
    <w:semiHidden/>
    <w:unhideWhenUsed/>
    <w:rsid w:val="00905642"/>
    <w:rPr>
      <w:rFonts w:cs="Times New Roman"/>
      <w:sz w:val="16"/>
      <w:szCs w:val="16"/>
    </w:rPr>
  </w:style>
  <w:style w:type="paragraph" w:styleId="CommentText">
    <w:name w:val="annotation text"/>
    <w:basedOn w:val="Normal"/>
    <w:link w:val="CommentTextChar"/>
    <w:uiPriority w:val="99"/>
    <w:semiHidden/>
    <w:unhideWhenUsed/>
    <w:rsid w:val="00905642"/>
  </w:style>
  <w:style w:type="character" w:customStyle="1" w:styleId="CommentTextChar">
    <w:name w:val="Comment Text Char"/>
    <w:basedOn w:val="DefaultParagraphFont"/>
    <w:link w:val="CommentText"/>
    <w:uiPriority w:val="99"/>
    <w:semiHidden/>
    <w:locked/>
    <w:rsid w:val="00905642"/>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05642"/>
    <w:rPr>
      <w:b/>
      <w:bCs/>
    </w:rPr>
  </w:style>
  <w:style w:type="character" w:customStyle="1" w:styleId="CommentSubjectChar">
    <w:name w:val="Comment Subject Char"/>
    <w:basedOn w:val="CommentTextChar"/>
    <w:link w:val="CommentSubject"/>
    <w:uiPriority w:val="99"/>
    <w:semiHidden/>
    <w:locked/>
    <w:rsid w:val="00905642"/>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204</Words>
  <Characters>977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Whiteman</dc:creator>
  <cp:keywords/>
  <dc:description/>
  <cp:lastModifiedBy>Wendy Whiteman</cp:lastModifiedBy>
  <cp:revision>3</cp:revision>
  <cp:lastPrinted>2017-05-22T16:09:00Z</cp:lastPrinted>
  <dcterms:created xsi:type="dcterms:W3CDTF">2017-05-30T17:06:00Z</dcterms:created>
  <dcterms:modified xsi:type="dcterms:W3CDTF">2017-05-30T17:06:00Z</dcterms:modified>
</cp:coreProperties>
</file>