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F7DE" w14:textId="73506BCA" w:rsidR="00834762" w:rsidRPr="007065F5" w:rsidRDefault="00834762" w:rsidP="007065F5">
      <w:pPr>
        <w:widowControl/>
        <w:tabs>
          <w:tab w:val="left" w:pos="0"/>
          <w:tab w:val="left" w:pos="720"/>
          <w:tab w:val="left" w:pos="1440"/>
          <w:tab w:val="left" w:pos="2160"/>
          <w:tab w:val="left" w:pos="2880"/>
          <w:tab w:val="left" w:pos="3600"/>
          <w:tab w:val="left" w:pos="4320"/>
          <w:tab w:val="left" w:pos="5040"/>
          <w:tab w:val="left" w:pos="5760"/>
          <w:tab w:val="left" w:pos="6480"/>
          <w:tab w:val="left" w:pos="7198"/>
        </w:tabs>
        <w:ind w:right="720"/>
        <w:jc w:val="both"/>
        <w:rPr>
          <w:b/>
          <w:bCs/>
          <w:sz w:val="28"/>
          <w:szCs w:val="28"/>
        </w:rPr>
      </w:pPr>
      <w:r w:rsidRPr="007065F5">
        <w:rPr>
          <w:sz w:val="28"/>
          <w:szCs w:val="28"/>
          <w:lang w:val="en-CA"/>
        </w:rPr>
        <w:fldChar w:fldCharType="begin"/>
      </w:r>
      <w:r w:rsidRPr="007065F5">
        <w:rPr>
          <w:sz w:val="28"/>
          <w:szCs w:val="28"/>
          <w:lang w:val="en-CA"/>
        </w:rPr>
        <w:instrText xml:space="preserve"> SEQ CHAPTER \h \r 1</w:instrText>
      </w:r>
      <w:r w:rsidRPr="007065F5">
        <w:rPr>
          <w:sz w:val="28"/>
          <w:szCs w:val="28"/>
          <w:lang w:val="en-CA"/>
        </w:rPr>
        <w:fldChar w:fldCharType="end"/>
      </w:r>
      <w:r w:rsidRPr="007065F5">
        <w:rPr>
          <w:b/>
          <w:bCs/>
          <w:sz w:val="28"/>
          <w:szCs w:val="28"/>
        </w:rPr>
        <w:t>4.</w:t>
      </w:r>
      <w:r w:rsidR="006B1007">
        <w:rPr>
          <w:b/>
          <w:bCs/>
          <w:sz w:val="28"/>
          <w:szCs w:val="28"/>
        </w:rPr>
        <w:t>3</w:t>
      </w:r>
      <w:r w:rsidR="007308D3">
        <w:rPr>
          <w:b/>
          <w:bCs/>
          <w:sz w:val="28"/>
          <w:szCs w:val="28"/>
        </w:rPr>
        <w:t>8</w:t>
      </w:r>
      <w:r w:rsidR="00153D90">
        <w:rPr>
          <w:b/>
          <w:bCs/>
          <w:sz w:val="28"/>
          <w:szCs w:val="28"/>
        </w:rPr>
        <w:t>.</w:t>
      </w:r>
      <w:r w:rsidRPr="007065F5">
        <w:rPr>
          <w:b/>
          <w:bCs/>
          <w:sz w:val="28"/>
          <w:szCs w:val="28"/>
        </w:rPr>
        <w:t xml:space="preserve"> </w:t>
      </w:r>
      <w:r w:rsidR="00310143" w:rsidRPr="007065F5">
        <w:rPr>
          <w:b/>
          <w:bCs/>
          <w:i/>
          <w:iCs/>
          <w:sz w:val="28"/>
          <w:szCs w:val="28"/>
        </w:rPr>
        <w:t>Molineux</w:t>
      </w:r>
      <w:r w:rsidR="00310143">
        <w:rPr>
          <w:b/>
          <w:bCs/>
          <w:sz w:val="28"/>
          <w:szCs w:val="28"/>
        </w:rPr>
        <w:t xml:space="preserve">: </w:t>
      </w:r>
      <w:r w:rsidRPr="007065F5">
        <w:rPr>
          <w:b/>
          <w:bCs/>
          <w:sz w:val="28"/>
          <w:szCs w:val="28"/>
        </w:rPr>
        <w:t>Evidence of Crimes and Wrongs</w:t>
      </w:r>
    </w:p>
    <w:p w14:paraId="01D3D406" w14:textId="77777777" w:rsidR="007065F5" w:rsidRPr="007065F5" w:rsidRDefault="007065F5" w:rsidP="007065F5">
      <w:pPr>
        <w:widowControl/>
        <w:tabs>
          <w:tab w:val="left" w:pos="0"/>
          <w:tab w:val="left" w:pos="720"/>
          <w:tab w:val="left" w:pos="1440"/>
          <w:tab w:val="left" w:pos="2160"/>
          <w:tab w:val="left" w:pos="2880"/>
          <w:tab w:val="left" w:pos="3600"/>
          <w:tab w:val="left" w:pos="4320"/>
          <w:tab w:val="left" w:pos="5040"/>
          <w:tab w:val="left" w:pos="5760"/>
          <w:tab w:val="left" w:pos="6480"/>
          <w:tab w:val="left" w:pos="7198"/>
        </w:tabs>
        <w:ind w:right="720"/>
        <w:jc w:val="both"/>
        <w:rPr>
          <w:b/>
          <w:bCs/>
          <w:sz w:val="28"/>
          <w:szCs w:val="28"/>
        </w:rPr>
      </w:pPr>
    </w:p>
    <w:p w14:paraId="36798B86" w14:textId="77777777" w:rsidR="00834762" w:rsidRPr="007065F5" w:rsidRDefault="00B1067D" w:rsidP="007065F5">
      <w:pPr>
        <w:pStyle w:val="L3-1"/>
        <w:widowControl/>
        <w:numPr>
          <w:ilvl w:val="0"/>
          <w:numId w:val="1"/>
        </w:numPr>
        <w:tabs>
          <w:tab w:val="left" w:pos="1440"/>
          <w:tab w:val="left" w:pos="2160"/>
          <w:tab w:val="left" w:pos="2880"/>
          <w:tab w:val="left" w:pos="3600"/>
          <w:tab w:val="left" w:pos="4320"/>
          <w:tab w:val="left" w:pos="5040"/>
          <w:tab w:val="left" w:pos="5760"/>
        </w:tabs>
        <w:ind w:left="720" w:right="720" w:firstLine="0"/>
        <w:rPr>
          <w:b/>
          <w:bCs/>
          <w:sz w:val="28"/>
          <w:szCs w:val="28"/>
        </w:rPr>
      </w:pPr>
      <w:r>
        <w:rPr>
          <w:b/>
          <w:bCs/>
          <w:sz w:val="28"/>
          <w:szCs w:val="28"/>
        </w:rPr>
        <w:t xml:space="preserve"> </w:t>
      </w:r>
      <w:r w:rsidR="00834762" w:rsidRPr="007065F5">
        <w:rPr>
          <w:b/>
          <w:bCs/>
          <w:sz w:val="28"/>
          <w:szCs w:val="28"/>
        </w:rPr>
        <w:t xml:space="preserve">Evidence of crimes, wrongs, or other acts committed by a person is not admissible to prove that the person acted in conformity therewith on a particular occasion or had a propensity to engage in a wrongful act or acts. This evidence may be admissible when it is more probative than prejudicial to prove, for example: </w:t>
      </w:r>
    </w:p>
    <w:p w14:paraId="6FEA6700" w14:textId="77777777" w:rsidR="00834762" w:rsidRPr="007065F5" w:rsidRDefault="00834762" w:rsidP="007065F5">
      <w:pPr>
        <w:pStyle w:val="ListParagra"/>
        <w:widowControl/>
        <w:numPr>
          <w:ilvl w:val="12"/>
          <w:numId w:val="0"/>
        </w:numPr>
        <w:tabs>
          <w:tab w:val="left" w:pos="1212"/>
          <w:tab w:val="left" w:pos="1440"/>
          <w:tab w:val="left" w:pos="2160"/>
          <w:tab w:val="left" w:pos="2880"/>
          <w:tab w:val="left" w:pos="3600"/>
          <w:tab w:val="left" w:pos="4320"/>
          <w:tab w:val="left" w:pos="5040"/>
          <w:tab w:val="left" w:pos="5760"/>
          <w:tab w:val="left" w:pos="6478"/>
        </w:tabs>
        <w:spacing w:after="0" w:line="240" w:lineRule="auto"/>
        <w:ind w:left="1212" w:right="1440"/>
        <w:rPr>
          <w:rFonts w:ascii="Times New Roman" w:hAnsi="Times New Roman" w:cs="Times New Roman"/>
          <w:b/>
          <w:bCs/>
          <w:sz w:val="28"/>
          <w:szCs w:val="28"/>
        </w:rPr>
      </w:pPr>
    </w:p>
    <w:p w14:paraId="0E7E5B3F" w14:textId="77777777" w:rsidR="00834762" w:rsidRPr="007065F5" w:rsidRDefault="00834762" w:rsidP="007065F5">
      <w:pPr>
        <w:pStyle w:val="ListParagra"/>
        <w:widowControl/>
        <w:numPr>
          <w:ilvl w:val="12"/>
          <w:numId w:val="0"/>
        </w:numPr>
        <w:tabs>
          <w:tab w:val="left" w:pos="2160"/>
          <w:tab w:val="left" w:pos="2880"/>
          <w:tab w:val="left" w:pos="3600"/>
          <w:tab w:val="left" w:pos="4320"/>
          <w:tab w:val="left" w:pos="5040"/>
          <w:tab w:val="left" w:pos="5760"/>
        </w:tabs>
        <w:spacing w:after="0" w:line="240" w:lineRule="auto"/>
        <w:ind w:left="1440" w:right="720"/>
        <w:rPr>
          <w:rFonts w:ascii="Times New Roman" w:hAnsi="Times New Roman" w:cs="Times New Roman"/>
          <w:b/>
          <w:bCs/>
          <w:sz w:val="28"/>
          <w:szCs w:val="28"/>
        </w:rPr>
      </w:pPr>
      <w:r w:rsidRPr="007065F5">
        <w:rPr>
          <w:rFonts w:ascii="Times New Roman" w:hAnsi="Times New Roman" w:cs="Times New Roman"/>
          <w:b/>
          <w:bCs/>
          <w:sz w:val="28"/>
          <w:szCs w:val="28"/>
        </w:rPr>
        <w:t>motive, opportunity, intent, preparation, common scheme or plan, knowledge, identity, absence of mistake or accident, or conduct that is inextricably interwoven with the charged acts; or to provide necessary background information or explanation; or to complete the narrative of the subject event or matter.</w:t>
      </w:r>
    </w:p>
    <w:p w14:paraId="207F3743" w14:textId="77777777" w:rsidR="00834762" w:rsidRPr="007065F5" w:rsidRDefault="00834762" w:rsidP="007065F5">
      <w:pPr>
        <w:widowControl/>
        <w:numPr>
          <w:ilvl w:val="12"/>
          <w:numId w:val="0"/>
        </w:numPr>
        <w:tabs>
          <w:tab w:val="left" w:pos="720"/>
          <w:tab w:val="left" w:pos="1440"/>
          <w:tab w:val="left" w:pos="2160"/>
          <w:tab w:val="left" w:pos="2880"/>
          <w:tab w:val="left" w:pos="3600"/>
          <w:tab w:val="left" w:pos="4320"/>
          <w:tab w:val="left" w:pos="5040"/>
          <w:tab w:val="left" w:pos="5760"/>
          <w:tab w:val="left" w:pos="6478"/>
        </w:tabs>
        <w:ind w:left="720" w:right="1440"/>
        <w:jc w:val="both"/>
        <w:rPr>
          <w:b/>
          <w:bCs/>
          <w:sz w:val="28"/>
          <w:szCs w:val="28"/>
        </w:rPr>
      </w:pPr>
    </w:p>
    <w:p w14:paraId="4B77C1BB" w14:textId="77777777" w:rsidR="00834762" w:rsidRPr="007065F5" w:rsidRDefault="00834762" w:rsidP="007065F5">
      <w:pPr>
        <w:pStyle w:val="ListParagra"/>
        <w:widowControl/>
        <w:numPr>
          <w:ilvl w:val="12"/>
          <w:numId w:val="0"/>
        </w:numPr>
        <w:tabs>
          <w:tab w:val="left" w:pos="720"/>
          <w:tab w:val="left" w:pos="1440"/>
          <w:tab w:val="left" w:pos="2160"/>
          <w:tab w:val="left" w:pos="2880"/>
          <w:tab w:val="left" w:pos="3600"/>
          <w:tab w:val="left" w:pos="4320"/>
          <w:tab w:val="left" w:pos="5040"/>
          <w:tab w:val="left" w:pos="5760"/>
        </w:tabs>
        <w:spacing w:after="0" w:line="240" w:lineRule="auto"/>
        <w:ind w:left="720" w:right="720"/>
        <w:rPr>
          <w:rFonts w:ascii="Times New Roman" w:hAnsi="Times New Roman" w:cs="Times New Roman"/>
          <w:b/>
          <w:bCs/>
          <w:sz w:val="28"/>
          <w:szCs w:val="28"/>
        </w:rPr>
      </w:pPr>
      <w:r w:rsidRPr="007065F5">
        <w:rPr>
          <w:rFonts w:ascii="Times New Roman" w:hAnsi="Times New Roman" w:cs="Times New Roman"/>
          <w:b/>
          <w:bCs/>
          <w:sz w:val="28"/>
          <w:szCs w:val="28"/>
        </w:rPr>
        <w:t xml:space="preserve">(2) In a criminal proceeding, where the defendant interposes a defense, the People on rebuttal may prove the defendant’s commission of other crimes or wrongs when such crimes or wrongs are relevant and probative to disprove the defense. </w:t>
      </w:r>
    </w:p>
    <w:p w14:paraId="4C500C35" w14:textId="77777777" w:rsidR="00834762" w:rsidRPr="007065F5" w:rsidRDefault="00834762" w:rsidP="007065F5">
      <w:pPr>
        <w:widowControl/>
        <w:numPr>
          <w:ilvl w:val="12"/>
          <w:numId w:val="0"/>
        </w:numPr>
        <w:tabs>
          <w:tab w:val="left" w:pos="2160"/>
          <w:tab w:val="left" w:pos="2880"/>
          <w:tab w:val="left" w:pos="3600"/>
          <w:tab w:val="left" w:pos="4320"/>
          <w:tab w:val="left" w:pos="5040"/>
          <w:tab w:val="left" w:pos="5760"/>
          <w:tab w:val="left" w:pos="6480"/>
          <w:tab w:val="left" w:pos="7200"/>
          <w:tab w:val="left" w:pos="7918"/>
        </w:tabs>
        <w:jc w:val="both"/>
        <w:rPr>
          <w:b/>
          <w:bCs/>
          <w:sz w:val="28"/>
          <w:szCs w:val="28"/>
        </w:rPr>
      </w:pPr>
    </w:p>
    <w:p w14:paraId="35F12EF6" w14:textId="77777777" w:rsidR="00834762" w:rsidRPr="007065F5" w:rsidRDefault="00834762"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rFonts w:ascii="Times New Roman" w:hAnsi="Times New Roman" w:cs="Times New Roman"/>
          <w:b/>
          <w:bCs/>
          <w:sz w:val="24"/>
          <w:szCs w:val="24"/>
        </w:rPr>
      </w:pPr>
      <w:r w:rsidRPr="007065F5">
        <w:rPr>
          <w:rFonts w:ascii="Times New Roman" w:hAnsi="Times New Roman" w:cs="Times New Roman"/>
          <w:b/>
          <w:bCs/>
          <w:color w:val="212121"/>
          <w:sz w:val="24"/>
          <w:szCs w:val="24"/>
        </w:rPr>
        <w:t>Note</w:t>
      </w:r>
    </w:p>
    <w:p w14:paraId="00A367D1" w14:textId="77777777" w:rsidR="00834762" w:rsidRPr="007065F5" w:rsidRDefault="00834762"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rFonts w:ascii="Times New Roman" w:hAnsi="Times New Roman" w:cs="Times New Roman"/>
          <w:b/>
          <w:bCs/>
          <w:sz w:val="24"/>
          <w:szCs w:val="24"/>
        </w:rPr>
      </w:pPr>
    </w:p>
    <w:p w14:paraId="17D2653D" w14:textId="77777777" w:rsidR="00834762" w:rsidRPr="007065F5" w:rsidRDefault="007065F5"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Pr>
          <w:rFonts w:ascii="Times New Roman" w:hAnsi="Times New Roman" w:cs="Times New Roman"/>
          <w:b/>
          <w:bCs/>
          <w:color w:val="212121"/>
          <w:sz w:val="24"/>
          <w:szCs w:val="24"/>
        </w:rPr>
        <w:tab/>
      </w:r>
      <w:r w:rsidR="00834762" w:rsidRPr="007065F5">
        <w:rPr>
          <w:rFonts w:ascii="Times New Roman" w:hAnsi="Times New Roman" w:cs="Times New Roman"/>
          <w:b/>
          <w:bCs/>
          <w:color w:val="212121"/>
          <w:sz w:val="24"/>
          <w:szCs w:val="24"/>
        </w:rPr>
        <w:t>Subdivision (1).</w:t>
      </w:r>
      <w:r w:rsidR="00834762" w:rsidRPr="007065F5">
        <w:rPr>
          <w:rFonts w:ascii="Times New Roman" w:hAnsi="Times New Roman" w:cs="Times New Roman"/>
          <w:color w:val="212121"/>
          <w:sz w:val="24"/>
          <w:szCs w:val="24"/>
        </w:rPr>
        <w:t xml:space="preserve"> This rule sets forth what is generally known as the </w:t>
      </w:r>
      <w:r w:rsidR="00834762" w:rsidRPr="007065F5">
        <w:rPr>
          <w:rFonts w:ascii="Times New Roman" w:hAnsi="Times New Roman" w:cs="Times New Roman"/>
          <w:i/>
          <w:iCs/>
          <w:color w:val="212121"/>
          <w:sz w:val="24"/>
          <w:szCs w:val="24"/>
        </w:rPr>
        <w:t>Molineux</w:t>
      </w:r>
      <w:r w:rsidR="00834762" w:rsidRPr="007065F5">
        <w:rPr>
          <w:rFonts w:ascii="Times New Roman" w:hAnsi="Times New Roman" w:cs="Times New Roman"/>
          <w:color w:val="212121"/>
          <w:sz w:val="24"/>
          <w:szCs w:val="24"/>
        </w:rPr>
        <w:t xml:space="preserve"> rule, after the seminal case of </w:t>
      </w:r>
      <w:r w:rsidR="00834762" w:rsidRPr="007065F5">
        <w:rPr>
          <w:rFonts w:ascii="Times New Roman" w:hAnsi="Times New Roman" w:cs="Times New Roman"/>
          <w:i/>
          <w:iCs/>
          <w:color w:val="212121"/>
          <w:sz w:val="24"/>
          <w:szCs w:val="24"/>
        </w:rPr>
        <w:t>People v Molineux</w:t>
      </w:r>
      <w:r w:rsidR="00834762" w:rsidRPr="007065F5">
        <w:rPr>
          <w:rFonts w:ascii="Times New Roman" w:hAnsi="Times New Roman" w:cs="Times New Roman"/>
          <w:color w:val="212121"/>
          <w:sz w:val="24"/>
          <w:szCs w:val="24"/>
        </w:rPr>
        <w:t xml:space="preserve"> (168 NY 264 [1901]). </w:t>
      </w:r>
    </w:p>
    <w:p w14:paraId="7D82A45B" w14:textId="77777777" w:rsidR="00834762" w:rsidRPr="007065F5" w:rsidRDefault="00834762"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17E8428A" w14:textId="77777777" w:rsidR="00834762" w:rsidRPr="007065F5" w:rsidRDefault="007065F5"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Pr>
          <w:rFonts w:ascii="Times New Roman" w:hAnsi="Times New Roman" w:cs="Times New Roman"/>
          <w:color w:val="212121"/>
          <w:sz w:val="24"/>
          <w:szCs w:val="24"/>
        </w:rPr>
        <w:tab/>
      </w:r>
      <w:r w:rsidR="00834762" w:rsidRPr="007065F5">
        <w:rPr>
          <w:rFonts w:ascii="Times New Roman" w:hAnsi="Times New Roman" w:cs="Times New Roman"/>
          <w:color w:val="212121"/>
          <w:sz w:val="24"/>
          <w:szCs w:val="24"/>
        </w:rPr>
        <w:t>The first sentence sets forth the general rule, applicable in both civil and criminal proceedings, that when evidence of other crimes, wrongs or acts committed by a person is offered for the purpose of raising an inference that the person is likely to have committed the crime charged or the act in issue, the evidence is inadmissible. (</w:t>
      </w:r>
      <w:r w:rsidR="00834762" w:rsidRPr="007065F5">
        <w:rPr>
          <w:rFonts w:ascii="Times New Roman" w:hAnsi="Times New Roman" w:cs="Times New Roman"/>
          <w:i/>
          <w:iCs/>
          <w:color w:val="212121"/>
          <w:sz w:val="24"/>
          <w:szCs w:val="24"/>
        </w:rPr>
        <w:t>Molineux</w:t>
      </w:r>
      <w:r w:rsidR="00834762" w:rsidRPr="007065F5">
        <w:rPr>
          <w:rFonts w:ascii="Times New Roman" w:hAnsi="Times New Roman" w:cs="Times New Roman"/>
          <w:color w:val="212121"/>
          <w:sz w:val="24"/>
          <w:szCs w:val="24"/>
        </w:rPr>
        <w:t xml:space="preserve">, 168 NY at 291-293; </w:t>
      </w:r>
      <w:r w:rsidR="00834762" w:rsidRPr="007065F5">
        <w:rPr>
          <w:rFonts w:ascii="Times New Roman" w:hAnsi="Times New Roman" w:cs="Times New Roman"/>
          <w:i/>
          <w:iCs/>
          <w:color w:val="212121"/>
          <w:sz w:val="24"/>
          <w:szCs w:val="24"/>
        </w:rPr>
        <w:t>People v Morris</w:t>
      </w:r>
      <w:r w:rsidR="00834762" w:rsidRPr="007065F5">
        <w:rPr>
          <w:rFonts w:ascii="Times New Roman" w:hAnsi="Times New Roman" w:cs="Times New Roman"/>
          <w:color w:val="212121"/>
          <w:sz w:val="24"/>
          <w:szCs w:val="24"/>
        </w:rPr>
        <w:t>, 21 NY3d 588, 594 [2013] [“</w:t>
      </w:r>
      <w:r w:rsidR="00DA13FB">
        <w:rPr>
          <w:rFonts w:ascii="Times New Roman" w:hAnsi="Times New Roman" w:cs="Times New Roman"/>
          <w:color w:val="212121"/>
          <w:sz w:val="24"/>
          <w:szCs w:val="24"/>
        </w:rPr>
        <w:t>(</w:t>
      </w:r>
      <w:r w:rsidR="00834762" w:rsidRPr="007065F5">
        <w:rPr>
          <w:rFonts w:ascii="Times New Roman" w:hAnsi="Times New Roman" w:cs="Times New Roman"/>
          <w:color w:val="212121"/>
          <w:sz w:val="24"/>
          <w:szCs w:val="24"/>
        </w:rPr>
        <w:t>E</w:t>
      </w:r>
      <w:r w:rsidR="00DA13FB">
        <w:rPr>
          <w:rFonts w:ascii="Times New Roman" w:hAnsi="Times New Roman" w:cs="Times New Roman"/>
          <w:color w:val="212121"/>
          <w:sz w:val="24"/>
          <w:szCs w:val="24"/>
        </w:rPr>
        <w:t>)</w:t>
      </w:r>
      <w:r w:rsidR="00834762" w:rsidRPr="007065F5">
        <w:rPr>
          <w:rFonts w:ascii="Times New Roman" w:hAnsi="Times New Roman" w:cs="Times New Roman"/>
          <w:color w:val="212121"/>
          <w:sz w:val="24"/>
          <w:szCs w:val="24"/>
        </w:rPr>
        <w:t>vidence of uncharged crimes is inadmissible where its purpose is only to show a defendant</w:t>
      </w:r>
      <w:r>
        <w:rPr>
          <w:rFonts w:ascii="Times New Roman" w:hAnsi="Times New Roman" w:cs="Times New Roman"/>
          <w:color w:val="212121"/>
          <w:sz w:val="24"/>
          <w:szCs w:val="24"/>
        </w:rPr>
        <w:t>’</w:t>
      </w:r>
      <w:r w:rsidR="00834762" w:rsidRPr="007065F5">
        <w:rPr>
          <w:rFonts w:ascii="Times New Roman" w:hAnsi="Times New Roman" w:cs="Times New Roman"/>
          <w:color w:val="212121"/>
          <w:sz w:val="24"/>
          <w:szCs w:val="24"/>
        </w:rPr>
        <w:t xml:space="preserve">s bad character or propensity towards crime”]; </w:t>
      </w:r>
      <w:r w:rsidR="00834762" w:rsidRPr="007065F5">
        <w:rPr>
          <w:rFonts w:ascii="Times New Roman" w:hAnsi="Times New Roman" w:cs="Times New Roman"/>
          <w:i/>
          <w:iCs/>
          <w:color w:val="212121"/>
          <w:sz w:val="24"/>
          <w:szCs w:val="24"/>
        </w:rPr>
        <w:t>People v Bradley</w:t>
      </w:r>
      <w:r w:rsidR="00834762" w:rsidRPr="007065F5">
        <w:rPr>
          <w:rFonts w:ascii="Times New Roman" w:hAnsi="Times New Roman" w:cs="Times New Roman"/>
          <w:color w:val="212121"/>
          <w:sz w:val="24"/>
          <w:szCs w:val="24"/>
        </w:rPr>
        <w:t xml:space="preserve">, 20 NY3d 128, 135 [2012] [“Without some better developed theory of relevance,” evidence of a stabbing incident more than 10 years before defendant fatally stabbed her estranged boyfriend was “resonant solely for what </w:t>
      </w:r>
      <w:r w:rsidR="00DA13FB">
        <w:rPr>
          <w:rFonts w:ascii="Times New Roman" w:hAnsi="Times New Roman" w:cs="Times New Roman"/>
          <w:color w:val="212121"/>
          <w:sz w:val="24"/>
          <w:szCs w:val="24"/>
        </w:rPr>
        <w:t>(</w:t>
      </w:r>
      <w:r w:rsidR="00834762" w:rsidRPr="007065F5">
        <w:rPr>
          <w:rFonts w:ascii="Times New Roman" w:hAnsi="Times New Roman" w:cs="Times New Roman"/>
          <w:color w:val="212121"/>
          <w:sz w:val="24"/>
          <w:szCs w:val="24"/>
        </w:rPr>
        <w:t>it</w:t>
      </w:r>
      <w:r w:rsidR="00DA13FB">
        <w:rPr>
          <w:rFonts w:ascii="Times New Roman" w:hAnsi="Times New Roman" w:cs="Times New Roman"/>
          <w:color w:val="212121"/>
          <w:sz w:val="24"/>
          <w:szCs w:val="24"/>
        </w:rPr>
        <w:t>)</w:t>
      </w:r>
      <w:r w:rsidR="00834762" w:rsidRPr="007065F5">
        <w:rPr>
          <w:rFonts w:ascii="Times New Roman" w:hAnsi="Times New Roman" w:cs="Times New Roman"/>
          <w:color w:val="212121"/>
          <w:sz w:val="24"/>
          <w:szCs w:val="24"/>
        </w:rPr>
        <w:t xml:space="preserve"> seemed to disclose about defendant’s violent propensity and the manner of </w:t>
      </w:r>
      <w:r w:rsidR="0014353A">
        <w:rPr>
          <w:rFonts w:ascii="Times New Roman" w:hAnsi="Times New Roman" w:cs="Times New Roman"/>
          <w:color w:val="212121"/>
          <w:sz w:val="24"/>
          <w:szCs w:val="24"/>
        </w:rPr>
        <w:t xml:space="preserve">its </w:t>
      </w:r>
      <w:r w:rsidR="00834762" w:rsidRPr="007065F5">
        <w:rPr>
          <w:rFonts w:ascii="Times New Roman" w:hAnsi="Times New Roman" w:cs="Times New Roman"/>
          <w:color w:val="212121"/>
          <w:sz w:val="24"/>
          <w:szCs w:val="24"/>
        </w:rPr>
        <w:t xml:space="preserve">expression”]; </w:t>
      </w:r>
      <w:r w:rsidR="00834762" w:rsidRPr="007065F5">
        <w:rPr>
          <w:rFonts w:ascii="Times New Roman" w:hAnsi="Times New Roman" w:cs="Times New Roman"/>
          <w:i/>
          <w:iCs/>
          <w:color w:val="212121"/>
          <w:sz w:val="24"/>
          <w:szCs w:val="24"/>
        </w:rPr>
        <w:t>Matter of Brandon</w:t>
      </w:r>
      <w:r w:rsidR="00834762" w:rsidRPr="007065F5">
        <w:rPr>
          <w:rFonts w:ascii="Times New Roman" w:hAnsi="Times New Roman" w:cs="Times New Roman"/>
          <w:color w:val="212121"/>
          <w:sz w:val="24"/>
          <w:szCs w:val="24"/>
        </w:rPr>
        <w:t>, 55 NY2d 206, 210</w:t>
      </w:r>
      <w:r w:rsidR="00FE5528">
        <w:rPr>
          <w:rFonts w:ascii="Times New Roman" w:hAnsi="Times New Roman" w:cs="Times New Roman"/>
          <w:color w:val="212121"/>
          <w:sz w:val="24"/>
          <w:szCs w:val="24"/>
        </w:rPr>
        <w:t>-211</w:t>
      </w:r>
      <w:r w:rsidR="00834762" w:rsidRPr="007065F5">
        <w:rPr>
          <w:rFonts w:ascii="Times New Roman" w:hAnsi="Times New Roman" w:cs="Times New Roman"/>
          <w:color w:val="212121"/>
          <w:sz w:val="24"/>
          <w:szCs w:val="24"/>
        </w:rPr>
        <w:t xml:space="preserve"> [1982] [“A general rule of evidence, applicable in both civil and criminal cases, is that it is improper to </w:t>
      </w:r>
      <w:r w:rsidR="00834762" w:rsidRPr="007065F5">
        <w:rPr>
          <w:rFonts w:ascii="Times New Roman" w:hAnsi="Times New Roman" w:cs="Times New Roman"/>
          <w:color w:val="212121"/>
          <w:sz w:val="24"/>
          <w:szCs w:val="24"/>
        </w:rPr>
        <w:lastRenderedPageBreak/>
        <w:t xml:space="preserve">prove that a person did an act on a particular occasion by showing that he did a similar act on a different, unrelated occasion”]; </w:t>
      </w:r>
      <w:r w:rsidR="00834762" w:rsidRPr="007065F5">
        <w:rPr>
          <w:rFonts w:ascii="Times New Roman" w:hAnsi="Times New Roman" w:cs="Times New Roman"/>
          <w:i/>
          <w:iCs/>
          <w:color w:val="212121"/>
          <w:sz w:val="24"/>
          <w:szCs w:val="24"/>
        </w:rPr>
        <w:t>People v Vargas</w:t>
      </w:r>
      <w:r w:rsidR="00834762" w:rsidRPr="007065F5">
        <w:rPr>
          <w:rFonts w:ascii="Times New Roman" w:hAnsi="Times New Roman" w:cs="Times New Roman"/>
          <w:color w:val="212121"/>
          <w:sz w:val="24"/>
          <w:szCs w:val="24"/>
        </w:rPr>
        <w:t>, 88 NY2d 856 [1996] [Where only the credibility of the complainant and the credibility of the defendant were at issue on whether there was a forcible or consensual sex act, evidence of the defendant having engaged in sexual misconduct with others was impermissible evidence of propensity, not probative evidence of intent]</w:t>
      </w:r>
      <w:r w:rsidR="00DA13FB">
        <w:rPr>
          <w:rFonts w:ascii="Times New Roman" w:hAnsi="Times New Roman" w:cs="Times New Roman"/>
          <w:color w:val="212121"/>
          <w:sz w:val="24"/>
          <w:szCs w:val="24"/>
        </w:rPr>
        <w:t>.</w:t>
      </w:r>
      <w:r w:rsidR="00834762" w:rsidRPr="007065F5">
        <w:rPr>
          <w:rFonts w:ascii="Times New Roman" w:hAnsi="Times New Roman" w:cs="Times New Roman"/>
          <w:color w:val="212121"/>
          <w:sz w:val="24"/>
          <w:szCs w:val="24"/>
        </w:rPr>
        <w:t>)</w:t>
      </w:r>
    </w:p>
    <w:p w14:paraId="444D7396" w14:textId="77777777" w:rsidR="00834762" w:rsidRPr="007065F5" w:rsidRDefault="00834762"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rPr>
          <w:rFonts w:ascii="Times New Roman" w:hAnsi="Times New Roman" w:cs="Times New Roman"/>
          <w:sz w:val="24"/>
          <w:szCs w:val="24"/>
        </w:rPr>
      </w:pPr>
    </w:p>
    <w:p w14:paraId="6A5817F5" w14:textId="77777777" w:rsidR="00834762" w:rsidRPr="007065F5" w:rsidRDefault="007065F5"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Pr>
          <w:rFonts w:ascii="Times New Roman" w:hAnsi="Times New Roman" w:cs="Times New Roman"/>
          <w:color w:val="212121"/>
          <w:sz w:val="24"/>
          <w:szCs w:val="24"/>
        </w:rPr>
        <w:tab/>
      </w:r>
      <w:r w:rsidR="00834762" w:rsidRPr="007065F5">
        <w:rPr>
          <w:rFonts w:ascii="Times New Roman" w:hAnsi="Times New Roman" w:cs="Times New Roman"/>
          <w:color w:val="212121"/>
          <w:sz w:val="24"/>
          <w:szCs w:val="24"/>
        </w:rPr>
        <w:t xml:space="preserve">As explained in </w:t>
      </w:r>
      <w:r w:rsidR="00834762" w:rsidRPr="007065F5">
        <w:rPr>
          <w:rFonts w:ascii="Times New Roman" w:hAnsi="Times New Roman" w:cs="Times New Roman"/>
          <w:i/>
          <w:iCs/>
          <w:color w:val="212121"/>
          <w:sz w:val="24"/>
          <w:szCs w:val="24"/>
        </w:rPr>
        <w:t>People v Frumusa</w:t>
      </w:r>
      <w:r w:rsidR="00834762" w:rsidRPr="007065F5">
        <w:rPr>
          <w:rFonts w:ascii="Times New Roman" w:hAnsi="Times New Roman" w:cs="Times New Roman"/>
          <w:color w:val="212121"/>
          <w:sz w:val="24"/>
          <w:szCs w:val="24"/>
        </w:rPr>
        <w:t xml:space="preserve"> (29 NY3d 364, 369 [2017]):</w:t>
      </w:r>
    </w:p>
    <w:p w14:paraId="509C035F" w14:textId="77777777" w:rsidR="00834762" w:rsidRPr="007065F5" w:rsidRDefault="00834762"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344"/>
        </w:tabs>
        <w:ind w:right="576" w:firstLine="720"/>
        <w:rPr>
          <w:rFonts w:ascii="Times New Roman" w:hAnsi="Times New Roman" w:cs="Times New Roman"/>
          <w:sz w:val="24"/>
          <w:szCs w:val="24"/>
        </w:rPr>
      </w:pPr>
    </w:p>
    <w:p w14:paraId="0C3A2689" w14:textId="77777777" w:rsidR="00834762" w:rsidRPr="007065F5" w:rsidRDefault="007065F5" w:rsidP="00622901">
      <w:pPr>
        <w:pStyle w:val="NoSpacing"/>
        <w:widowControl/>
        <w:numPr>
          <w:ilvl w:val="12"/>
          <w:numId w:val="0"/>
        </w:numPr>
        <w:tabs>
          <w:tab w:val="left" w:pos="720"/>
          <w:tab w:val="left" w:pos="1440"/>
          <w:tab w:val="left" w:pos="2160"/>
          <w:tab w:val="left" w:pos="2880"/>
          <w:tab w:val="left" w:pos="3600"/>
          <w:tab w:val="left" w:pos="4320"/>
          <w:tab w:val="left" w:pos="5040"/>
          <w:tab w:val="left" w:pos="5760"/>
          <w:tab w:val="left" w:pos="6480"/>
        </w:tabs>
        <w:ind w:left="720" w:right="720"/>
        <w:rPr>
          <w:rFonts w:ascii="Times New Roman" w:hAnsi="Times New Roman" w:cs="Times New Roman"/>
          <w:color w:val="212121"/>
          <w:sz w:val="24"/>
          <w:szCs w:val="24"/>
        </w:rPr>
      </w:pPr>
      <w:r>
        <w:rPr>
          <w:rFonts w:ascii="Times New Roman" w:hAnsi="Times New Roman" w:cs="Times New Roman"/>
          <w:color w:val="212121"/>
          <w:sz w:val="24"/>
          <w:szCs w:val="24"/>
        </w:rPr>
        <w:t>“</w:t>
      </w:r>
      <w:r w:rsidR="00834762" w:rsidRPr="007065F5">
        <w:rPr>
          <w:rFonts w:ascii="Times New Roman" w:hAnsi="Times New Roman" w:cs="Times New Roman"/>
          <w:color w:val="212121"/>
          <w:sz w:val="24"/>
          <w:szCs w:val="24"/>
        </w:rPr>
        <w:t xml:space="preserve">The </w:t>
      </w:r>
      <w:r w:rsidR="00834762" w:rsidRPr="007065F5">
        <w:rPr>
          <w:rFonts w:ascii="Times New Roman" w:hAnsi="Times New Roman" w:cs="Times New Roman"/>
          <w:i/>
          <w:iCs/>
          <w:color w:val="212121"/>
          <w:sz w:val="24"/>
          <w:szCs w:val="24"/>
        </w:rPr>
        <w:t>Molineux</w:t>
      </w:r>
      <w:r w:rsidR="00834762" w:rsidRPr="007065F5">
        <w:rPr>
          <w:rFonts w:ascii="Times New Roman" w:hAnsi="Times New Roman" w:cs="Times New Roman"/>
          <w:color w:val="212121"/>
          <w:sz w:val="24"/>
          <w:szCs w:val="24"/>
        </w:rPr>
        <w:t xml:space="preserve"> rule </w:t>
      </w:r>
      <w:r>
        <w:rPr>
          <w:rFonts w:ascii="Times New Roman" w:hAnsi="Times New Roman" w:cs="Times New Roman"/>
          <w:color w:val="212121"/>
          <w:sz w:val="24"/>
          <w:szCs w:val="24"/>
        </w:rPr>
        <w:t>‘</w:t>
      </w:r>
      <w:r w:rsidR="00834762" w:rsidRPr="007065F5">
        <w:rPr>
          <w:rFonts w:ascii="Times New Roman" w:hAnsi="Times New Roman" w:cs="Times New Roman"/>
          <w:color w:val="212121"/>
          <w:sz w:val="24"/>
          <w:szCs w:val="24"/>
        </w:rPr>
        <w:t xml:space="preserve"> </w:t>
      </w:r>
      <w:r>
        <w:rPr>
          <w:rFonts w:ascii="Times New Roman" w:hAnsi="Times New Roman" w:cs="Times New Roman"/>
          <w:color w:val="212121"/>
          <w:sz w:val="24"/>
          <w:szCs w:val="24"/>
        </w:rPr>
        <w:t>“</w:t>
      </w:r>
      <w:r w:rsidR="00834762" w:rsidRPr="007065F5">
        <w:rPr>
          <w:rFonts w:ascii="Times New Roman" w:hAnsi="Times New Roman" w:cs="Times New Roman"/>
          <w:color w:val="212121"/>
          <w:sz w:val="24"/>
          <w:szCs w:val="24"/>
        </w:rPr>
        <w:t>is based on policy and not on logic.</w:t>
      </w:r>
      <w:r>
        <w:rPr>
          <w:rFonts w:ascii="Times New Roman" w:hAnsi="Times New Roman" w:cs="Times New Roman"/>
          <w:color w:val="212121"/>
          <w:sz w:val="24"/>
          <w:szCs w:val="24"/>
        </w:rPr>
        <w:t>” ’</w:t>
      </w:r>
      <w:r w:rsidR="00834762" w:rsidRPr="007065F5">
        <w:rPr>
          <w:rFonts w:ascii="Times New Roman" w:hAnsi="Times New Roman" w:cs="Times New Roman"/>
          <w:color w:val="212121"/>
          <w:sz w:val="24"/>
          <w:szCs w:val="24"/>
        </w:rPr>
        <w:t xml:space="preserve"> </w:t>
      </w:r>
      <w:r>
        <w:rPr>
          <w:rFonts w:ascii="Times New Roman" w:hAnsi="Times New Roman" w:cs="Times New Roman"/>
          <w:color w:val="212121"/>
          <w:sz w:val="24"/>
          <w:szCs w:val="24"/>
        </w:rPr>
        <w:t>‘</w:t>
      </w:r>
      <w:r w:rsidR="00834762" w:rsidRPr="007065F5">
        <w:rPr>
          <w:rFonts w:ascii="Times New Roman" w:hAnsi="Times New Roman" w:cs="Times New Roman"/>
          <w:color w:val="212121"/>
          <w:sz w:val="24"/>
          <w:szCs w:val="24"/>
        </w:rPr>
        <w:t>It may be logic</w:t>
      </w:r>
      <w:r>
        <w:rPr>
          <w:rFonts w:ascii="Times New Roman" w:hAnsi="Times New Roman" w:cs="Times New Roman"/>
          <w:color w:val="212121"/>
          <w:sz w:val="24"/>
          <w:szCs w:val="24"/>
        </w:rPr>
        <w:t>al to conclude from a defendant’</w:t>
      </w:r>
      <w:r w:rsidR="00834762" w:rsidRPr="007065F5">
        <w:rPr>
          <w:rFonts w:ascii="Times New Roman" w:hAnsi="Times New Roman" w:cs="Times New Roman"/>
          <w:color w:val="212121"/>
          <w:sz w:val="24"/>
          <w:szCs w:val="24"/>
        </w:rPr>
        <w:t>s prior crimes that he is inclined to act</w:t>
      </w:r>
      <w:r>
        <w:rPr>
          <w:rFonts w:ascii="Times New Roman" w:hAnsi="Times New Roman" w:cs="Times New Roman"/>
          <w:color w:val="212121"/>
          <w:sz w:val="24"/>
          <w:szCs w:val="24"/>
        </w:rPr>
        <w:t xml:space="preserve"> criminally, but such evidence “</w:t>
      </w:r>
      <w:r w:rsidR="00834762" w:rsidRPr="007065F5">
        <w:rPr>
          <w:rFonts w:ascii="Times New Roman" w:hAnsi="Times New Roman" w:cs="Times New Roman"/>
          <w:color w:val="212121"/>
          <w:sz w:val="24"/>
          <w:szCs w:val="24"/>
        </w:rPr>
        <w:t>is excluded for policy reasons because it may induce the jury to base a finding of guilt on collateral matters or to convict a defendant because of his past</w:t>
      </w:r>
      <w:r>
        <w:rPr>
          <w:rFonts w:ascii="Times New Roman" w:hAnsi="Times New Roman" w:cs="Times New Roman"/>
          <w:color w:val="212121"/>
          <w:sz w:val="24"/>
          <w:szCs w:val="24"/>
        </w:rPr>
        <w:t>” ’ ”</w:t>
      </w:r>
      <w:r w:rsidR="00834762" w:rsidRPr="007065F5">
        <w:rPr>
          <w:rFonts w:ascii="Times New Roman" w:hAnsi="Times New Roman" w:cs="Times New Roman"/>
          <w:color w:val="212121"/>
          <w:sz w:val="24"/>
          <w:szCs w:val="24"/>
        </w:rPr>
        <w:t xml:space="preserve"> (citations omitted).</w:t>
      </w:r>
    </w:p>
    <w:p w14:paraId="2DE51323" w14:textId="77777777" w:rsidR="00834762" w:rsidRPr="007065F5" w:rsidRDefault="00834762"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481BF67D" w14:textId="77777777" w:rsidR="00834762" w:rsidRPr="007065F5" w:rsidRDefault="007065F5"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Pr>
          <w:rFonts w:ascii="Times New Roman" w:hAnsi="Times New Roman" w:cs="Times New Roman"/>
          <w:color w:val="212121"/>
          <w:sz w:val="24"/>
          <w:szCs w:val="24"/>
        </w:rPr>
        <w:tab/>
      </w:r>
      <w:r w:rsidR="00834762" w:rsidRPr="007065F5">
        <w:rPr>
          <w:rFonts w:ascii="Times New Roman" w:hAnsi="Times New Roman" w:cs="Times New Roman"/>
          <w:color w:val="212121"/>
          <w:sz w:val="24"/>
          <w:szCs w:val="24"/>
        </w:rPr>
        <w:t>The second sentence sets forth exceptions to the exclusionary rule recognized by the Court of Appeals. The exceptions relate to circumstances where the evidence of other crimes, wrongs, or acts is offered for a non-conformity purpose that is relevant in the proceeding. These exceptions are available in both civil and criminal proceedings. (</w:t>
      </w:r>
      <w:r w:rsidR="00834762" w:rsidRPr="007065F5">
        <w:rPr>
          <w:rFonts w:ascii="Times New Roman" w:hAnsi="Times New Roman" w:cs="Times New Roman"/>
          <w:i/>
          <w:iCs/>
          <w:color w:val="212121"/>
          <w:sz w:val="24"/>
          <w:szCs w:val="24"/>
        </w:rPr>
        <w:t>See Matter of Brandon</w:t>
      </w:r>
      <w:r w:rsidR="00834762" w:rsidRPr="007065F5">
        <w:rPr>
          <w:rFonts w:ascii="Times New Roman" w:hAnsi="Times New Roman" w:cs="Times New Roman"/>
          <w:color w:val="212121"/>
          <w:sz w:val="24"/>
          <w:szCs w:val="24"/>
        </w:rPr>
        <w:t xml:space="preserve">, 55 NY2d at 210-211; </w:t>
      </w:r>
      <w:r w:rsidR="00834762" w:rsidRPr="007065F5">
        <w:rPr>
          <w:rFonts w:ascii="Times New Roman" w:hAnsi="Times New Roman" w:cs="Times New Roman"/>
          <w:i/>
          <w:iCs/>
          <w:color w:val="212121"/>
          <w:sz w:val="24"/>
          <w:szCs w:val="24"/>
        </w:rPr>
        <w:t>Mazella v Beals</w:t>
      </w:r>
      <w:r w:rsidR="00834762" w:rsidRPr="00FE5528">
        <w:rPr>
          <w:rFonts w:ascii="Times New Roman" w:hAnsi="Times New Roman" w:cs="Times New Roman"/>
          <w:iCs/>
          <w:color w:val="212121"/>
          <w:sz w:val="24"/>
          <w:szCs w:val="24"/>
        </w:rPr>
        <w:t>,</w:t>
      </w:r>
      <w:r w:rsidR="00834762" w:rsidRPr="007065F5">
        <w:rPr>
          <w:rFonts w:ascii="Times New Roman" w:hAnsi="Times New Roman" w:cs="Times New Roman"/>
          <w:color w:val="212121"/>
          <w:sz w:val="24"/>
          <w:szCs w:val="24"/>
        </w:rPr>
        <w:t xml:space="preserve"> 27 NY3d 694, 709-710 [2016].) </w:t>
      </w:r>
    </w:p>
    <w:p w14:paraId="73CBEBE7" w14:textId="77777777" w:rsidR="00834762" w:rsidRPr="007065F5" w:rsidRDefault="00834762"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rPr>
          <w:rFonts w:ascii="Times New Roman" w:hAnsi="Times New Roman" w:cs="Times New Roman"/>
          <w:sz w:val="24"/>
          <w:szCs w:val="24"/>
        </w:rPr>
      </w:pPr>
    </w:p>
    <w:p w14:paraId="7125FC98" w14:textId="77777777" w:rsidR="00834762" w:rsidRPr="007065F5" w:rsidRDefault="007065F5"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Pr>
          <w:rFonts w:ascii="Times New Roman" w:hAnsi="Times New Roman" w:cs="Times New Roman"/>
          <w:color w:val="212121"/>
          <w:sz w:val="24"/>
          <w:szCs w:val="24"/>
        </w:rPr>
        <w:tab/>
      </w:r>
      <w:r w:rsidR="00834762" w:rsidRPr="007065F5">
        <w:rPr>
          <w:rFonts w:ascii="Times New Roman" w:hAnsi="Times New Roman" w:cs="Times New Roman"/>
          <w:color w:val="212121"/>
          <w:sz w:val="24"/>
          <w:szCs w:val="24"/>
        </w:rPr>
        <w:t xml:space="preserve">In </w:t>
      </w:r>
      <w:r w:rsidR="00834762" w:rsidRPr="007065F5">
        <w:rPr>
          <w:rFonts w:ascii="Times New Roman" w:hAnsi="Times New Roman" w:cs="Times New Roman"/>
          <w:i/>
          <w:iCs/>
          <w:color w:val="212121"/>
          <w:sz w:val="24"/>
          <w:szCs w:val="24"/>
        </w:rPr>
        <w:t>Molineux</w:t>
      </w:r>
      <w:r w:rsidR="00834762" w:rsidRPr="007065F5">
        <w:rPr>
          <w:rFonts w:ascii="Times New Roman" w:hAnsi="Times New Roman" w:cs="Times New Roman"/>
          <w:color w:val="212121"/>
          <w:sz w:val="24"/>
          <w:szCs w:val="24"/>
        </w:rPr>
        <w:t>, the Court listed examples of uncharged crimes that may be relevant to show (1) intent, (2) motive, (3) knowledge, (4) common scheme or plan, or (5) identity of the defendant (168 NY at 293). This enumeration is “merely illustrative</w:t>
      </w:r>
      <w:r>
        <w:rPr>
          <w:rFonts w:ascii="Times New Roman" w:hAnsi="Times New Roman" w:cs="Times New Roman"/>
          <w:color w:val="212121"/>
          <w:sz w:val="24"/>
          <w:szCs w:val="24"/>
        </w:rPr>
        <w:t>”</w:t>
      </w:r>
      <w:r w:rsidR="00834762" w:rsidRPr="007065F5">
        <w:rPr>
          <w:rFonts w:ascii="Times New Roman" w:hAnsi="Times New Roman" w:cs="Times New Roman"/>
          <w:color w:val="212121"/>
          <w:sz w:val="24"/>
          <w:szCs w:val="24"/>
        </w:rPr>
        <w:t xml:space="preserve"> (</w:t>
      </w:r>
      <w:r w:rsidR="00834762" w:rsidRPr="007065F5">
        <w:rPr>
          <w:rFonts w:ascii="Times New Roman" w:hAnsi="Times New Roman" w:cs="Times New Roman"/>
          <w:i/>
          <w:iCs/>
          <w:color w:val="212121"/>
          <w:sz w:val="24"/>
          <w:szCs w:val="24"/>
        </w:rPr>
        <w:t>People v Vails</w:t>
      </w:r>
      <w:r w:rsidR="00834762" w:rsidRPr="007065F5">
        <w:rPr>
          <w:rFonts w:ascii="Times New Roman" w:hAnsi="Times New Roman" w:cs="Times New Roman"/>
          <w:color w:val="212121"/>
          <w:sz w:val="24"/>
          <w:szCs w:val="24"/>
        </w:rPr>
        <w:t>, 43 NY2d 364, 368 [1977]) and not intended to be “exhaustive</w:t>
      </w:r>
      <w:r>
        <w:rPr>
          <w:rFonts w:ascii="Times New Roman" w:hAnsi="Times New Roman" w:cs="Times New Roman"/>
          <w:color w:val="212121"/>
          <w:sz w:val="24"/>
          <w:szCs w:val="24"/>
        </w:rPr>
        <w:t>”</w:t>
      </w:r>
      <w:r w:rsidR="00834762" w:rsidRPr="007065F5">
        <w:rPr>
          <w:rFonts w:ascii="Times New Roman" w:hAnsi="Times New Roman" w:cs="Times New Roman"/>
          <w:color w:val="212121"/>
          <w:sz w:val="24"/>
          <w:szCs w:val="24"/>
        </w:rPr>
        <w:t xml:space="preserve"> of the possible range of relevancy (</w:t>
      </w:r>
      <w:r w:rsidR="00834762" w:rsidRPr="007065F5">
        <w:rPr>
          <w:rFonts w:ascii="Times New Roman" w:hAnsi="Times New Roman" w:cs="Times New Roman"/>
          <w:i/>
          <w:iCs/>
          <w:color w:val="212121"/>
          <w:sz w:val="24"/>
          <w:szCs w:val="24"/>
        </w:rPr>
        <w:t>People v Santarelli</w:t>
      </w:r>
      <w:r w:rsidR="00834762" w:rsidRPr="007065F5">
        <w:rPr>
          <w:rFonts w:ascii="Times New Roman" w:hAnsi="Times New Roman" w:cs="Times New Roman"/>
          <w:color w:val="212121"/>
          <w:sz w:val="24"/>
          <w:szCs w:val="24"/>
        </w:rPr>
        <w:t>, 49 NY2d 241, 248 [1980]). The Court has continued to add to this enumeration. (</w:t>
      </w:r>
      <w:r w:rsidR="00834762" w:rsidRPr="007065F5">
        <w:rPr>
          <w:rFonts w:ascii="Times New Roman" w:hAnsi="Times New Roman" w:cs="Times New Roman"/>
          <w:i/>
          <w:iCs/>
          <w:color w:val="212121"/>
          <w:sz w:val="24"/>
          <w:szCs w:val="24"/>
        </w:rPr>
        <w:t>See People v Stanard</w:t>
      </w:r>
      <w:r w:rsidR="00834762" w:rsidRPr="007065F5">
        <w:rPr>
          <w:rFonts w:ascii="Times New Roman" w:hAnsi="Times New Roman" w:cs="Times New Roman"/>
          <w:color w:val="212121"/>
          <w:sz w:val="24"/>
          <w:szCs w:val="24"/>
        </w:rPr>
        <w:t xml:space="preserve">, 32 NY2d 143, 146 [1973] [“background evidence”]; </w:t>
      </w:r>
      <w:r w:rsidR="00834762" w:rsidRPr="007065F5">
        <w:rPr>
          <w:rFonts w:ascii="Times New Roman" w:hAnsi="Times New Roman" w:cs="Times New Roman"/>
          <w:i/>
          <w:iCs/>
          <w:color w:val="212121"/>
          <w:sz w:val="24"/>
          <w:szCs w:val="24"/>
        </w:rPr>
        <w:t>People v Cook</w:t>
      </w:r>
      <w:r w:rsidR="00BA6558">
        <w:rPr>
          <w:rFonts w:ascii="Times New Roman" w:hAnsi="Times New Roman" w:cs="Times New Roman"/>
          <w:color w:val="212121"/>
          <w:sz w:val="24"/>
          <w:szCs w:val="24"/>
        </w:rPr>
        <w:t xml:space="preserve">, 42 NY2d 204, 208 [1977] [“ </w:t>
      </w:r>
      <w:r w:rsidR="00C5376B">
        <w:rPr>
          <w:rFonts w:ascii="Times New Roman" w:hAnsi="Times New Roman" w:cs="Times New Roman"/>
          <w:color w:val="212121"/>
          <w:sz w:val="24"/>
          <w:szCs w:val="24"/>
        </w:rPr>
        <w:t>‘to complete the narrative’ ”</w:t>
      </w:r>
      <w:r w:rsidR="00834762" w:rsidRPr="007065F5">
        <w:rPr>
          <w:rFonts w:ascii="Times New Roman" w:hAnsi="Times New Roman" w:cs="Times New Roman"/>
          <w:color w:val="212121"/>
          <w:sz w:val="24"/>
          <w:szCs w:val="24"/>
        </w:rPr>
        <w:t xml:space="preserve">]; </w:t>
      </w:r>
      <w:r w:rsidR="00834762" w:rsidRPr="007065F5">
        <w:rPr>
          <w:rFonts w:ascii="Times New Roman" w:hAnsi="Times New Roman" w:cs="Times New Roman"/>
          <w:i/>
          <w:iCs/>
          <w:color w:val="212121"/>
          <w:sz w:val="24"/>
          <w:szCs w:val="24"/>
        </w:rPr>
        <w:t>People v Vails</w:t>
      </w:r>
      <w:r w:rsidR="00834762" w:rsidRPr="007065F5">
        <w:rPr>
          <w:rFonts w:ascii="Times New Roman" w:hAnsi="Times New Roman" w:cs="Times New Roman"/>
          <w:color w:val="212121"/>
          <w:sz w:val="24"/>
          <w:szCs w:val="24"/>
        </w:rPr>
        <w:t>, 43 NY2d 364</w:t>
      </w:r>
      <w:r w:rsidR="004D11D5">
        <w:rPr>
          <w:rFonts w:ascii="Times New Roman" w:hAnsi="Times New Roman" w:cs="Times New Roman"/>
          <w:color w:val="212121"/>
          <w:sz w:val="24"/>
          <w:szCs w:val="24"/>
        </w:rPr>
        <w:t xml:space="preserve">, </w:t>
      </w:r>
      <w:r w:rsidR="00834762" w:rsidRPr="007065F5">
        <w:rPr>
          <w:rFonts w:ascii="Times New Roman" w:hAnsi="Times New Roman" w:cs="Times New Roman"/>
          <w:color w:val="212121"/>
          <w:sz w:val="24"/>
          <w:szCs w:val="24"/>
        </w:rPr>
        <w:t xml:space="preserve">368 [1977].) </w:t>
      </w:r>
    </w:p>
    <w:p w14:paraId="595840D6" w14:textId="77777777" w:rsidR="00834762" w:rsidRPr="007065F5" w:rsidRDefault="00834762"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29BC480E" w14:textId="77777777" w:rsidR="00834762" w:rsidRPr="007065F5" w:rsidRDefault="007065F5"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Pr>
          <w:rFonts w:ascii="Times New Roman" w:hAnsi="Times New Roman" w:cs="Times New Roman"/>
          <w:color w:val="212121"/>
          <w:sz w:val="24"/>
          <w:szCs w:val="24"/>
        </w:rPr>
        <w:tab/>
      </w:r>
      <w:r w:rsidR="00834762" w:rsidRPr="007065F5">
        <w:rPr>
          <w:rFonts w:ascii="Times New Roman" w:hAnsi="Times New Roman" w:cs="Times New Roman"/>
          <w:color w:val="212121"/>
          <w:sz w:val="24"/>
          <w:szCs w:val="24"/>
        </w:rPr>
        <w:t>Even when evidence of other crimes, wrongs, or acts is admissible for such a non-conformity purpose, the court must weigh the evidence’s probative value against its prejudicial impact before admitting the evidence and may exclude the evidence in its discretion. (</w:t>
      </w:r>
      <w:r w:rsidR="00834762" w:rsidRPr="007065F5">
        <w:rPr>
          <w:rFonts w:ascii="Times New Roman" w:hAnsi="Times New Roman" w:cs="Times New Roman"/>
          <w:i/>
          <w:iCs/>
          <w:color w:val="212121"/>
          <w:sz w:val="24"/>
          <w:szCs w:val="24"/>
        </w:rPr>
        <w:t xml:space="preserve">See </w:t>
      </w:r>
      <w:r w:rsidR="00834762" w:rsidRPr="007065F5">
        <w:rPr>
          <w:rFonts w:ascii="Times New Roman" w:hAnsi="Times New Roman" w:cs="Times New Roman"/>
          <w:color w:val="212121"/>
          <w:sz w:val="24"/>
          <w:szCs w:val="24"/>
        </w:rPr>
        <w:t xml:space="preserve">Guide to NY Evid </w:t>
      </w:r>
      <w:r w:rsidR="00DE21CD" w:rsidRPr="00E4068C">
        <w:rPr>
          <w:rFonts w:ascii="Times New Roman" w:hAnsi="Times New Roman" w:cs="Times New Roman"/>
          <w:color w:val="212121"/>
          <w:sz w:val="24"/>
          <w:szCs w:val="24"/>
        </w:rPr>
        <w:t>rule</w:t>
      </w:r>
      <w:r w:rsidR="00BA6558">
        <w:rPr>
          <w:rFonts w:ascii="Times New Roman" w:hAnsi="Times New Roman" w:cs="Times New Roman"/>
          <w:iCs/>
          <w:color w:val="212121"/>
          <w:sz w:val="24"/>
          <w:szCs w:val="24"/>
        </w:rPr>
        <w:t xml:space="preserve"> 4</w:t>
      </w:r>
      <w:r w:rsidR="00DE21CD" w:rsidRPr="00E4068C">
        <w:rPr>
          <w:rFonts w:ascii="Times New Roman" w:hAnsi="Times New Roman" w:cs="Times New Roman"/>
          <w:iCs/>
          <w:color w:val="212121"/>
          <w:sz w:val="24"/>
          <w:szCs w:val="24"/>
        </w:rPr>
        <w:t>.07</w:t>
      </w:r>
      <w:r w:rsidR="00834762" w:rsidRPr="00E4068C">
        <w:rPr>
          <w:rFonts w:ascii="Times New Roman" w:hAnsi="Times New Roman" w:cs="Times New Roman"/>
          <w:iCs/>
          <w:color w:val="212121"/>
          <w:sz w:val="24"/>
          <w:szCs w:val="24"/>
        </w:rPr>
        <w:t>;</w:t>
      </w:r>
      <w:r w:rsidR="00834762" w:rsidRPr="007065F5">
        <w:rPr>
          <w:rFonts w:ascii="Times New Roman" w:hAnsi="Times New Roman" w:cs="Times New Roman"/>
          <w:i/>
          <w:iCs/>
          <w:color w:val="212121"/>
          <w:sz w:val="24"/>
          <w:szCs w:val="24"/>
        </w:rPr>
        <w:t xml:space="preserve"> People v Alvino</w:t>
      </w:r>
      <w:r w:rsidR="00834762" w:rsidRPr="007065F5">
        <w:rPr>
          <w:rFonts w:ascii="Times New Roman" w:hAnsi="Times New Roman" w:cs="Times New Roman"/>
          <w:color w:val="212121"/>
          <w:sz w:val="24"/>
          <w:szCs w:val="24"/>
        </w:rPr>
        <w:t xml:space="preserve">, 71 NY2d 233, 241-242 [1987]; </w:t>
      </w:r>
      <w:r w:rsidR="00834762" w:rsidRPr="007065F5">
        <w:rPr>
          <w:rFonts w:ascii="Times New Roman" w:hAnsi="Times New Roman" w:cs="Times New Roman"/>
          <w:i/>
          <w:iCs/>
          <w:color w:val="212121"/>
          <w:sz w:val="24"/>
          <w:szCs w:val="24"/>
        </w:rPr>
        <w:t>People v Ventimiglia</w:t>
      </w:r>
      <w:r w:rsidR="00834762" w:rsidRPr="004D11D5">
        <w:rPr>
          <w:rFonts w:ascii="Times New Roman" w:hAnsi="Times New Roman" w:cs="Times New Roman"/>
          <w:iCs/>
          <w:color w:val="212121"/>
          <w:sz w:val="24"/>
          <w:szCs w:val="24"/>
        </w:rPr>
        <w:t>,</w:t>
      </w:r>
      <w:r w:rsidR="00834762" w:rsidRPr="007065F5">
        <w:rPr>
          <w:rFonts w:ascii="Times New Roman" w:hAnsi="Times New Roman" w:cs="Times New Roman"/>
          <w:color w:val="212121"/>
          <w:sz w:val="24"/>
          <w:szCs w:val="24"/>
        </w:rPr>
        <w:t xml:space="preserve"> 52 NY2d 350, 360 [1981].) </w:t>
      </w:r>
    </w:p>
    <w:p w14:paraId="372513A8" w14:textId="77777777" w:rsidR="00834762" w:rsidRPr="007065F5" w:rsidRDefault="00834762"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246FF451" w14:textId="77777777" w:rsidR="00834762" w:rsidRPr="007065F5" w:rsidRDefault="007065F5"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Pr>
          <w:rFonts w:ascii="Times New Roman" w:hAnsi="Times New Roman" w:cs="Times New Roman"/>
          <w:color w:val="212121"/>
          <w:sz w:val="24"/>
          <w:szCs w:val="24"/>
        </w:rPr>
        <w:tab/>
      </w:r>
      <w:r w:rsidR="00834762" w:rsidRPr="007065F5">
        <w:rPr>
          <w:rFonts w:ascii="Times New Roman" w:hAnsi="Times New Roman" w:cs="Times New Roman"/>
          <w:color w:val="212121"/>
          <w:sz w:val="24"/>
          <w:szCs w:val="24"/>
        </w:rPr>
        <w:t xml:space="preserve">In </w:t>
      </w:r>
      <w:r w:rsidR="00834762" w:rsidRPr="007065F5">
        <w:rPr>
          <w:rFonts w:ascii="Times New Roman" w:hAnsi="Times New Roman" w:cs="Times New Roman"/>
          <w:i/>
          <w:iCs/>
          <w:color w:val="212121"/>
          <w:sz w:val="24"/>
          <w:szCs w:val="24"/>
        </w:rPr>
        <w:t>People v Robinson</w:t>
      </w:r>
      <w:r w:rsidR="00834762" w:rsidRPr="007065F5">
        <w:rPr>
          <w:rFonts w:ascii="Times New Roman" w:hAnsi="Times New Roman" w:cs="Times New Roman"/>
          <w:color w:val="212121"/>
          <w:sz w:val="24"/>
          <w:szCs w:val="24"/>
        </w:rPr>
        <w:t xml:space="preserve"> (68 NY2d 541, 544-545 [1986]), the Court of Appeals held the People must show by clear and convincing evidence that the defendant committed the other crimes in order to admit evidence under the identity exception.</w:t>
      </w:r>
    </w:p>
    <w:p w14:paraId="75FC8A8F" w14:textId="77777777" w:rsidR="00834762" w:rsidRPr="007065F5" w:rsidRDefault="00834762"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2132DA20" w14:textId="49066BBF" w:rsidR="00CA044D" w:rsidRDefault="007065F5"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color w:val="212121"/>
          <w:sz w:val="24"/>
          <w:szCs w:val="24"/>
        </w:rPr>
      </w:pPr>
      <w:r>
        <w:rPr>
          <w:rFonts w:ascii="Times New Roman" w:hAnsi="Times New Roman" w:cs="Times New Roman"/>
          <w:color w:val="212121"/>
          <w:sz w:val="24"/>
          <w:szCs w:val="24"/>
        </w:rPr>
        <w:tab/>
      </w:r>
      <w:r w:rsidR="00834762" w:rsidRPr="007065F5">
        <w:rPr>
          <w:rFonts w:ascii="Times New Roman" w:hAnsi="Times New Roman" w:cs="Times New Roman"/>
          <w:color w:val="212121"/>
          <w:sz w:val="24"/>
          <w:szCs w:val="24"/>
        </w:rPr>
        <w:t xml:space="preserve">In its discretion, a trial court may conduct an inquiry or hearing, outside the presence of the jury, to determine admissibility, and in particular whether there is sufficient evidence of the </w:t>
      </w:r>
      <w:r w:rsidR="00834762" w:rsidRPr="007065F5">
        <w:rPr>
          <w:rFonts w:ascii="Times New Roman" w:hAnsi="Times New Roman" w:cs="Times New Roman"/>
          <w:i/>
          <w:iCs/>
          <w:color w:val="212121"/>
          <w:sz w:val="24"/>
          <w:szCs w:val="24"/>
        </w:rPr>
        <w:t>Molineux</w:t>
      </w:r>
      <w:r w:rsidR="00834762" w:rsidRPr="007065F5">
        <w:rPr>
          <w:rFonts w:ascii="Times New Roman" w:hAnsi="Times New Roman" w:cs="Times New Roman"/>
          <w:color w:val="212121"/>
          <w:sz w:val="24"/>
          <w:szCs w:val="24"/>
        </w:rPr>
        <w:t xml:space="preserve"> exception. </w:t>
      </w:r>
      <w:r w:rsidR="00D45C42">
        <w:rPr>
          <w:rFonts w:ascii="Times New Roman" w:hAnsi="Times New Roman" w:cs="Times New Roman"/>
          <w:color w:val="212121"/>
          <w:sz w:val="24"/>
          <w:szCs w:val="24"/>
        </w:rPr>
        <w:t xml:space="preserve">A defendant in a criminal </w:t>
      </w:r>
      <w:r w:rsidR="00D45C42">
        <w:rPr>
          <w:rFonts w:ascii="Times New Roman" w:hAnsi="Times New Roman" w:cs="Times New Roman"/>
          <w:color w:val="212121"/>
          <w:sz w:val="24"/>
          <w:szCs w:val="24"/>
        </w:rPr>
        <w:lastRenderedPageBreak/>
        <w:t>prosecution i</w:t>
      </w:r>
      <w:r w:rsidR="00834762" w:rsidRPr="007065F5">
        <w:rPr>
          <w:rFonts w:ascii="Times New Roman" w:hAnsi="Times New Roman" w:cs="Times New Roman"/>
          <w:color w:val="212121"/>
          <w:sz w:val="24"/>
          <w:szCs w:val="24"/>
        </w:rPr>
        <w:t xml:space="preserve">s entitled to pretrial </w:t>
      </w:r>
      <w:r w:rsidR="00170D61">
        <w:rPr>
          <w:rFonts w:ascii="Times New Roman" w:hAnsi="Times New Roman" w:cs="Times New Roman"/>
          <w:color w:val="212121"/>
          <w:sz w:val="24"/>
          <w:szCs w:val="24"/>
        </w:rPr>
        <w:t xml:space="preserve">discovery of </w:t>
      </w:r>
      <w:r w:rsidR="00D45C42">
        <w:rPr>
          <w:rFonts w:ascii="Times New Roman" w:hAnsi="Times New Roman" w:cs="Times New Roman"/>
          <w:color w:val="212121"/>
          <w:sz w:val="24"/>
          <w:szCs w:val="24"/>
        </w:rPr>
        <w:t>any</w:t>
      </w:r>
      <w:r w:rsidR="001A3EAA">
        <w:rPr>
          <w:rFonts w:ascii="Times New Roman" w:hAnsi="Times New Roman" w:cs="Times New Roman"/>
          <w:color w:val="212121"/>
          <w:sz w:val="24"/>
          <w:szCs w:val="24"/>
        </w:rPr>
        <w:t xml:space="preserve"> misconduct and criminal acts of </w:t>
      </w:r>
      <w:r w:rsidR="00817222">
        <w:rPr>
          <w:rFonts w:ascii="Times New Roman" w:hAnsi="Times New Roman" w:cs="Times New Roman"/>
          <w:color w:val="212121"/>
          <w:sz w:val="24"/>
          <w:szCs w:val="24"/>
        </w:rPr>
        <w:t>the</w:t>
      </w:r>
      <w:r w:rsidR="001A3EAA">
        <w:rPr>
          <w:rFonts w:ascii="Times New Roman" w:hAnsi="Times New Roman" w:cs="Times New Roman"/>
          <w:color w:val="212121"/>
          <w:sz w:val="24"/>
          <w:szCs w:val="24"/>
        </w:rPr>
        <w:t xml:space="preserve"> defendant which the prosecution intends to use at trial </w:t>
      </w:r>
      <w:r w:rsidR="00817222">
        <w:rPr>
          <w:rFonts w:ascii="Times New Roman" w:hAnsi="Times New Roman" w:cs="Times New Roman"/>
          <w:color w:val="212121"/>
          <w:sz w:val="24"/>
          <w:szCs w:val="24"/>
        </w:rPr>
        <w:t>as</w:t>
      </w:r>
      <w:r w:rsidR="00CA044D">
        <w:rPr>
          <w:rFonts w:ascii="Times New Roman" w:hAnsi="Times New Roman" w:cs="Times New Roman"/>
          <w:color w:val="212121"/>
          <w:sz w:val="24"/>
          <w:szCs w:val="24"/>
        </w:rPr>
        <w:t xml:space="preserve"> “substantive proof” of any material issue in the case</w:t>
      </w:r>
      <w:r w:rsidR="000E5BB1">
        <w:rPr>
          <w:rFonts w:ascii="Times New Roman" w:hAnsi="Times New Roman" w:cs="Times New Roman"/>
          <w:color w:val="212121"/>
          <w:sz w:val="24"/>
          <w:szCs w:val="24"/>
        </w:rPr>
        <w:t>. (CPL 245.20</w:t>
      </w:r>
      <w:r w:rsidR="0073416B">
        <w:rPr>
          <w:rFonts w:ascii="Times New Roman" w:hAnsi="Times New Roman" w:cs="Times New Roman"/>
          <w:color w:val="212121"/>
          <w:sz w:val="24"/>
          <w:szCs w:val="24"/>
        </w:rPr>
        <w:t>[3].)</w:t>
      </w:r>
    </w:p>
    <w:p w14:paraId="2D9AADBD" w14:textId="77777777" w:rsidR="00CA044D" w:rsidRDefault="00CA044D"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color w:val="212121"/>
          <w:sz w:val="24"/>
          <w:szCs w:val="24"/>
        </w:rPr>
      </w:pPr>
    </w:p>
    <w:p w14:paraId="35D57470" w14:textId="520FB6E8" w:rsidR="00834762" w:rsidRDefault="007065F5"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color w:val="212121"/>
          <w:sz w:val="24"/>
          <w:szCs w:val="24"/>
        </w:rPr>
      </w:pPr>
      <w:r>
        <w:rPr>
          <w:rFonts w:ascii="Times New Roman" w:hAnsi="Times New Roman" w:cs="Times New Roman"/>
          <w:color w:val="212121"/>
          <w:sz w:val="24"/>
          <w:szCs w:val="24"/>
        </w:rPr>
        <w:tab/>
      </w:r>
      <w:r w:rsidR="00834762" w:rsidRPr="007065F5">
        <w:rPr>
          <w:rFonts w:ascii="Times New Roman" w:hAnsi="Times New Roman" w:cs="Times New Roman"/>
          <w:color w:val="212121"/>
          <w:sz w:val="24"/>
          <w:szCs w:val="24"/>
        </w:rPr>
        <w:t xml:space="preserve">Preliminary evidence of a </w:t>
      </w:r>
      <w:r w:rsidR="00834762" w:rsidRPr="007065F5">
        <w:rPr>
          <w:rFonts w:ascii="Times New Roman" w:hAnsi="Times New Roman" w:cs="Times New Roman"/>
          <w:i/>
          <w:iCs/>
          <w:color w:val="212121"/>
          <w:sz w:val="24"/>
          <w:szCs w:val="24"/>
        </w:rPr>
        <w:t>Molineux</w:t>
      </w:r>
      <w:r w:rsidR="00834762" w:rsidRPr="007065F5">
        <w:rPr>
          <w:rFonts w:ascii="Times New Roman" w:hAnsi="Times New Roman" w:cs="Times New Roman"/>
          <w:color w:val="212121"/>
          <w:sz w:val="24"/>
          <w:szCs w:val="24"/>
        </w:rPr>
        <w:t xml:space="preserve"> exception may be admitted pursuant to rule 4.0</w:t>
      </w:r>
      <w:r w:rsidR="0004743E">
        <w:rPr>
          <w:rFonts w:ascii="Times New Roman" w:hAnsi="Times New Roman" w:cs="Times New Roman"/>
          <w:color w:val="212121"/>
          <w:sz w:val="24"/>
          <w:szCs w:val="24"/>
        </w:rPr>
        <w:t>5</w:t>
      </w:r>
      <w:r w:rsidR="004D11D5">
        <w:rPr>
          <w:rFonts w:ascii="Times New Roman" w:hAnsi="Times New Roman" w:cs="Times New Roman"/>
          <w:color w:val="212121"/>
          <w:sz w:val="24"/>
          <w:szCs w:val="24"/>
        </w:rPr>
        <w:t xml:space="preserve"> of the Guide to New York Evidence</w:t>
      </w:r>
      <w:r w:rsidR="00B343C7">
        <w:rPr>
          <w:rFonts w:ascii="Times New Roman" w:hAnsi="Times New Roman" w:cs="Times New Roman"/>
          <w:color w:val="212121"/>
          <w:sz w:val="24"/>
          <w:szCs w:val="24"/>
        </w:rPr>
        <w:t xml:space="preserve"> (</w:t>
      </w:r>
      <w:r w:rsidR="00834762" w:rsidRPr="007065F5">
        <w:rPr>
          <w:rFonts w:ascii="Times New Roman" w:hAnsi="Times New Roman" w:cs="Times New Roman"/>
          <w:color w:val="212121"/>
          <w:sz w:val="24"/>
          <w:szCs w:val="24"/>
        </w:rPr>
        <w:t>Conditional Relevance</w:t>
      </w:r>
      <w:r w:rsidR="00C5376B">
        <w:rPr>
          <w:rFonts w:ascii="Times New Roman" w:hAnsi="Times New Roman" w:cs="Times New Roman"/>
          <w:color w:val="212121"/>
          <w:sz w:val="24"/>
          <w:szCs w:val="24"/>
        </w:rPr>
        <w:t xml:space="preserve"> </w:t>
      </w:r>
      <w:r w:rsidR="00B343C7">
        <w:rPr>
          <w:rFonts w:ascii="Times New Roman" w:hAnsi="Times New Roman" w:cs="Times New Roman"/>
          <w:color w:val="212121"/>
          <w:sz w:val="24"/>
          <w:szCs w:val="24"/>
        </w:rPr>
        <w:t>[</w:t>
      </w:r>
      <w:r w:rsidR="00C5376B">
        <w:rPr>
          <w:rFonts w:ascii="Times New Roman" w:hAnsi="Times New Roman" w:cs="Times New Roman"/>
          <w:color w:val="212121"/>
          <w:sz w:val="24"/>
          <w:szCs w:val="24"/>
        </w:rPr>
        <w:t>Evidence Offered “</w:t>
      </w:r>
      <w:r w:rsidR="00834762" w:rsidRPr="007065F5">
        <w:rPr>
          <w:rFonts w:ascii="Times New Roman" w:hAnsi="Times New Roman" w:cs="Times New Roman"/>
          <w:color w:val="212121"/>
          <w:sz w:val="24"/>
          <w:szCs w:val="24"/>
        </w:rPr>
        <w:t>Subject to Connection</w:t>
      </w:r>
      <w:r w:rsidR="00C5376B">
        <w:rPr>
          <w:rFonts w:ascii="Times New Roman" w:hAnsi="Times New Roman" w:cs="Times New Roman"/>
          <w:color w:val="212121"/>
          <w:sz w:val="24"/>
          <w:szCs w:val="24"/>
        </w:rPr>
        <w:t>”</w:t>
      </w:r>
      <w:r w:rsidR="00B343C7">
        <w:rPr>
          <w:rFonts w:ascii="Times New Roman" w:hAnsi="Times New Roman" w:cs="Times New Roman"/>
          <w:color w:val="212121"/>
          <w:sz w:val="24"/>
          <w:szCs w:val="24"/>
        </w:rPr>
        <w:t>]</w:t>
      </w:r>
      <w:r w:rsidR="00834762" w:rsidRPr="007065F5">
        <w:rPr>
          <w:rFonts w:ascii="Times New Roman" w:hAnsi="Times New Roman" w:cs="Times New Roman"/>
          <w:color w:val="212121"/>
          <w:sz w:val="24"/>
          <w:szCs w:val="24"/>
        </w:rPr>
        <w:t>). (</w:t>
      </w:r>
      <w:r w:rsidR="00834762" w:rsidRPr="00B343C7">
        <w:rPr>
          <w:rFonts w:ascii="Times New Roman" w:hAnsi="Times New Roman" w:cs="Times New Roman"/>
          <w:i/>
          <w:color w:val="212121"/>
          <w:sz w:val="24"/>
          <w:szCs w:val="24"/>
        </w:rPr>
        <w:t>See</w:t>
      </w:r>
      <w:r w:rsidR="00834762" w:rsidRPr="007065F5">
        <w:rPr>
          <w:rFonts w:ascii="Times New Roman" w:hAnsi="Times New Roman" w:cs="Times New Roman"/>
          <w:color w:val="212121"/>
          <w:sz w:val="24"/>
          <w:szCs w:val="24"/>
        </w:rPr>
        <w:t xml:space="preserve"> </w:t>
      </w:r>
      <w:r w:rsidR="00834762" w:rsidRPr="007065F5">
        <w:rPr>
          <w:rFonts w:ascii="Times New Roman" w:hAnsi="Times New Roman" w:cs="Times New Roman"/>
          <w:i/>
          <w:iCs/>
          <w:color w:val="212121"/>
          <w:sz w:val="24"/>
          <w:szCs w:val="24"/>
        </w:rPr>
        <w:t>People v Small</w:t>
      </w:r>
      <w:r w:rsidR="00834762" w:rsidRPr="007065F5">
        <w:rPr>
          <w:rFonts w:ascii="Times New Roman" w:hAnsi="Times New Roman" w:cs="Times New Roman"/>
          <w:color w:val="212121"/>
          <w:sz w:val="24"/>
          <w:szCs w:val="24"/>
        </w:rPr>
        <w:t xml:space="preserve">, 12 NY3d 732, 733 [2009] [mid-trial grant of the People’s application to introduce </w:t>
      </w:r>
      <w:r w:rsidR="00834762" w:rsidRPr="007065F5">
        <w:rPr>
          <w:rFonts w:ascii="Times New Roman" w:hAnsi="Times New Roman" w:cs="Times New Roman"/>
          <w:i/>
          <w:iCs/>
          <w:color w:val="212121"/>
          <w:sz w:val="24"/>
          <w:szCs w:val="24"/>
        </w:rPr>
        <w:t>Molineux</w:t>
      </w:r>
      <w:r w:rsidR="00834762" w:rsidRPr="007065F5">
        <w:rPr>
          <w:rFonts w:ascii="Times New Roman" w:hAnsi="Times New Roman" w:cs="Times New Roman"/>
          <w:color w:val="212121"/>
          <w:sz w:val="24"/>
          <w:szCs w:val="24"/>
        </w:rPr>
        <w:t xml:space="preserve"> evidence to rebut the defendant’s defense was proper]; </w:t>
      </w:r>
      <w:r w:rsidR="00834762" w:rsidRPr="007065F5">
        <w:rPr>
          <w:rFonts w:ascii="Times New Roman" w:hAnsi="Times New Roman" w:cs="Times New Roman"/>
          <w:i/>
          <w:iCs/>
          <w:color w:val="212121"/>
          <w:sz w:val="24"/>
          <w:szCs w:val="24"/>
        </w:rPr>
        <w:t>People v Ventimiglia</w:t>
      </w:r>
      <w:r w:rsidR="00834762" w:rsidRPr="007065F5">
        <w:rPr>
          <w:rFonts w:ascii="Times New Roman" w:hAnsi="Times New Roman" w:cs="Times New Roman"/>
          <w:color w:val="212121"/>
          <w:sz w:val="24"/>
          <w:szCs w:val="24"/>
        </w:rPr>
        <w:t xml:space="preserve">, 52 NY2d 350, 362 [1981] [prior to trial or the testimony of the </w:t>
      </w:r>
      <w:r w:rsidR="00834762" w:rsidRPr="007065F5">
        <w:rPr>
          <w:rFonts w:ascii="Times New Roman" w:hAnsi="Times New Roman" w:cs="Times New Roman"/>
          <w:i/>
          <w:iCs/>
          <w:color w:val="212121"/>
          <w:sz w:val="24"/>
          <w:szCs w:val="24"/>
        </w:rPr>
        <w:t>Molineux</w:t>
      </w:r>
      <w:r w:rsidR="00834762" w:rsidRPr="007065F5">
        <w:rPr>
          <w:rFonts w:ascii="Times New Roman" w:hAnsi="Times New Roman" w:cs="Times New Roman"/>
          <w:color w:val="212121"/>
          <w:sz w:val="24"/>
          <w:szCs w:val="24"/>
        </w:rPr>
        <w:t xml:space="preserve"> witness “the prosecutor should ask for a ruling out of the presence of the jury at which the evidence to be produced can be detailed to the court, either as an offer of proof by counsel or, preferably, by presenting the live testimony of the witness”].) Nothing precludes a court from itself requiring a party to advise the court, orally or in writing, of a prospective trial application to admit </w:t>
      </w:r>
      <w:r w:rsidR="00834762" w:rsidRPr="007065F5">
        <w:rPr>
          <w:rFonts w:ascii="Times New Roman" w:hAnsi="Times New Roman" w:cs="Times New Roman"/>
          <w:i/>
          <w:iCs/>
          <w:color w:val="212121"/>
          <w:sz w:val="24"/>
          <w:szCs w:val="24"/>
        </w:rPr>
        <w:t xml:space="preserve">Molineux </w:t>
      </w:r>
      <w:r w:rsidR="00834762" w:rsidRPr="007065F5">
        <w:rPr>
          <w:rFonts w:ascii="Times New Roman" w:hAnsi="Times New Roman" w:cs="Times New Roman"/>
          <w:color w:val="212121"/>
          <w:sz w:val="24"/>
          <w:szCs w:val="24"/>
        </w:rPr>
        <w:t>evidence and conducting any necessary and appropriate proceeding to determine the matter.</w:t>
      </w:r>
    </w:p>
    <w:p w14:paraId="58E0B42B" w14:textId="77777777" w:rsidR="006D1D2D" w:rsidRDefault="006D1D2D"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color w:val="212121"/>
          <w:sz w:val="24"/>
          <w:szCs w:val="24"/>
        </w:rPr>
      </w:pPr>
    </w:p>
    <w:p w14:paraId="3F6CBA66" w14:textId="77777777" w:rsidR="006D1D2D" w:rsidRDefault="006D1D2D" w:rsidP="006D1D2D">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color w:val="212121"/>
          <w:sz w:val="24"/>
          <w:szCs w:val="24"/>
        </w:rPr>
      </w:pPr>
      <w:r>
        <w:rPr>
          <w:rFonts w:ascii="Times New Roman" w:hAnsi="Times New Roman" w:cs="Times New Roman"/>
          <w:color w:val="212121"/>
          <w:sz w:val="24"/>
          <w:szCs w:val="24"/>
        </w:rPr>
        <w:tab/>
      </w:r>
      <w:r w:rsidRPr="006D1D2D">
        <w:rPr>
          <w:rFonts w:ascii="Times New Roman" w:hAnsi="Times New Roman" w:cs="Times New Roman"/>
          <w:color w:val="212121"/>
          <w:sz w:val="24"/>
          <w:szCs w:val="24"/>
        </w:rPr>
        <w:t xml:space="preserve">It should be noted that in certain instances, a prior criminal conviction or conduct may be required proof of a criminal charge. </w:t>
      </w:r>
    </w:p>
    <w:p w14:paraId="4937C0A8" w14:textId="77777777" w:rsidR="006D1D2D" w:rsidRPr="006D1D2D" w:rsidRDefault="006D1D2D" w:rsidP="006D1D2D">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color w:val="212121"/>
          <w:sz w:val="24"/>
          <w:szCs w:val="24"/>
        </w:rPr>
      </w:pPr>
    </w:p>
    <w:p w14:paraId="7AE6D28E" w14:textId="77777777" w:rsidR="006D1D2D" w:rsidRPr="00E4068C" w:rsidRDefault="006D1D2D" w:rsidP="006D1D2D">
      <w:pPr>
        <w:pStyle w:val="NoSpacing"/>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color w:val="212121"/>
          <w:sz w:val="24"/>
          <w:szCs w:val="24"/>
        </w:rPr>
      </w:pPr>
      <w:r>
        <w:rPr>
          <w:color w:val="212121"/>
          <w:sz w:val="24"/>
          <w:szCs w:val="24"/>
        </w:rPr>
        <w:tab/>
      </w:r>
      <w:r w:rsidRPr="00E4068C">
        <w:rPr>
          <w:rFonts w:ascii="Times New Roman" w:hAnsi="Times New Roman" w:cs="Times New Roman"/>
          <w:color w:val="212121"/>
          <w:sz w:val="24"/>
          <w:szCs w:val="24"/>
        </w:rPr>
        <w:t>In instances where a prior criminal conviction must be proved, statutory law may permit a defendant to admit the prior criminal conviction outside the presence of the jury in order to preclude the People from offering proof of that conviction at trial (CPL 200.60</w:t>
      </w:r>
      <w:r w:rsidR="00B343C7">
        <w:rPr>
          <w:rFonts w:ascii="Times New Roman" w:hAnsi="Times New Roman" w:cs="Times New Roman"/>
          <w:color w:val="212121"/>
          <w:sz w:val="24"/>
          <w:szCs w:val="24"/>
        </w:rPr>
        <w:t xml:space="preserve">, </w:t>
      </w:r>
      <w:r w:rsidRPr="00E4068C">
        <w:rPr>
          <w:rFonts w:ascii="Times New Roman" w:hAnsi="Times New Roman" w:cs="Times New Roman"/>
          <w:color w:val="212121"/>
          <w:sz w:val="24"/>
          <w:szCs w:val="24"/>
        </w:rPr>
        <w:t xml:space="preserve">200.63). The principles of </w:t>
      </w:r>
      <w:r w:rsidRPr="00E4068C">
        <w:rPr>
          <w:rFonts w:ascii="Times New Roman" w:hAnsi="Times New Roman" w:cs="Times New Roman"/>
          <w:i/>
          <w:iCs/>
          <w:color w:val="212121"/>
          <w:sz w:val="24"/>
          <w:szCs w:val="24"/>
        </w:rPr>
        <w:t xml:space="preserve">Molineux </w:t>
      </w:r>
      <w:r w:rsidRPr="00E4068C">
        <w:rPr>
          <w:rFonts w:ascii="Times New Roman" w:hAnsi="Times New Roman" w:cs="Times New Roman"/>
          <w:color w:val="212121"/>
          <w:sz w:val="24"/>
          <w:szCs w:val="24"/>
        </w:rPr>
        <w:t>set forth in this rule may, however, yet permit the People to prove the conviction (</w:t>
      </w:r>
      <w:r w:rsidRPr="00E4068C">
        <w:rPr>
          <w:rFonts w:ascii="Times New Roman" w:hAnsi="Times New Roman" w:cs="Times New Roman"/>
          <w:i/>
          <w:iCs/>
          <w:color w:val="212121"/>
          <w:sz w:val="24"/>
          <w:szCs w:val="24"/>
        </w:rPr>
        <w:t>People v Anderson</w:t>
      </w:r>
      <w:r w:rsidRPr="00B343C7">
        <w:rPr>
          <w:rFonts w:ascii="Times New Roman" w:hAnsi="Times New Roman" w:cs="Times New Roman"/>
          <w:iCs/>
          <w:color w:val="212121"/>
          <w:sz w:val="24"/>
          <w:szCs w:val="24"/>
        </w:rPr>
        <w:t>,</w:t>
      </w:r>
      <w:r w:rsidRPr="00E4068C">
        <w:rPr>
          <w:rFonts w:ascii="Times New Roman" w:hAnsi="Times New Roman" w:cs="Times New Roman"/>
          <w:color w:val="212121"/>
          <w:sz w:val="24"/>
          <w:szCs w:val="24"/>
        </w:rPr>
        <w:t xml:space="preserve"> 114 AD3d 1083, 1086 [3d Dept 2014]).</w:t>
      </w:r>
    </w:p>
    <w:p w14:paraId="04289683" w14:textId="77777777" w:rsidR="006D1D2D" w:rsidRPr="00E4068C" w:rsidRDefault="006D1D2D" w:rsidP="006D1D2D">
      <w:pPr>
        <w:pStyle w:val="NoSpacing"/>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color w:val="212121"/>
          <w:sz w:val="24"/>
          <w:szCs w:val="24"/>
        </w:rPr>
      </w:pPr>
      <w:r w:rsidRPr="00E4068C">
        <w:rPr>
          <w:rFonts w:ascii="Times New Roman" w:hAnsi="Times New Roman" w:cs="Times New Roman"/>
          <w:color w:val="212121"/>
          <w:sz w:val="24"/>
          <w:szCs w:val="24"/>
        </w:rPr>
        <w:tab/>
      </w:r>
    </w:p>
    <w:p w14:paraId="2422DC0F" w14:textId="77777777" w:rsidR="006D1D2D" w:rsidRPr="006D1D2D" w:rsidRDefault="006D1D2D" w:rsidP="006D1D2D">
      <w:pPr>
        <w:pStyle w:val="NoSpacing"/>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color w:val="212121"/>
          <w:sz w:val="24"/>
          <w:szCs w:val="24"/>
        </w:rPr>
      </w:pPr>
      <w:r w:rsidRPr="00E4068C">
        <w:rPr>
          <w:rFonts w:ascii="Times New Roman" w:hAnsi="Times New Roman" w:cs="Times New Roman"/>
          <w:color w:val="212121"/>
          <w:sz w:val="24"/>
          <w:szCs w:val="24"/>
        </w:rPr>
        <w:tab/>
        <w:t>In a conspiracy case, an overt act must be alleged and proved to have been committed in furtherance of the conspiracy (Penal Law § 105.20). That overt act may constitute an uncharged crime. And, the Court of Appeals has held that an “indictment for conspiracy need not allege every overt act . . . If the indictment provides sufficient detail about the scope and nature of the conspiracy and the major overt acts committed in furtherance of it, then evidence may be offered at trial of related [non-enumerated] overt acts” (</w:t>
      </w:r>
      <w:r w:rsidRPr="00E4068C">
        <w:rPr>
          <w:rFonts w:ascii="Times New Roman" w:hAnsi="Times New Roman" w:cs="Times New Roman"/>
          <w:i/>
          <w:iCs/>
          <w:color w:val="212121"/>
          <w:sz w:val="24"/>
          <w:szCs w:val="24"/>
        </w:rPr>
        <w:t>People v Ribowsky</w:t>
      </w:r>
      <w:r w:rsidRPr="00E4068C">
        <w:rPr>
          <w:rFonts w:ascii="Times New Roman" w:hAnsi="Times New Roman" w:cs="Times New Roman"/>
          <w:color w:val="212121"/>
          <w:sz w:val="24"/>
          <w:szCs w:val="24"/>
        </w:rPr>
        <w:t>, 77 NY2d 284, 292</w:t>
      </w:r>
      <w:r w:rsidR="0087271D">
        <w:rPr>
          <w:rFonts w:ascii="Times New Roman" w:hAnsi="Times New Roman" w:cs="Times New Roman"/>
          <w:color w:val="212121"/>
          <w:sz w:val="24"/>
          <w:szCs w:val="24"/>
        </w:rPr>
        <w:t>-</w:t>
      </w:r>
      <w:r w:rsidRPr="00E4068C">
        <w:rPr>
          <w:rFonts w:ascii="Times New Roman" w:hAnsi="Times New Roman" w:cs="Times New Roman"/>
          <w:color w:val="212121"/>
          <w:sz w:val="24"/>
          <w:szCs w:val="24"/>
        </w:rPr>
        <w:t>293 [1991] [citations omitted]), even if those overt acts include uncharged crimes (</w:t>
      </w:r>
      <w:r w:rsidRPr="00E4068C">
        <w:rPr>
          <w:rFonts w:ascii="Times New Roman" w:hAnsi="Times New Roman" w:cs="Times New Roman"/>
          <w:i/>
          <w:iCs/>
          <w:color w:val="212121"/>
          <w:sz w:val="24"/>
          <w:szCs w:val="24"/>
        </w:rPr>
        <w:t>People v Portis</w:t>
      </w:r>
      <w:r w:rsidRPr="00E4068C">
        <w:rPr>
          <w:rFonts w:ascii="Times New Roman" w:hAnsi="Times New Roman" w:cs="Times New Roman"/>
          <w:color w:val="212121"/>
          <w:sz w:val="24"/>
          <w:szCs w:val="24"/>
        </w:rPr>
        <w:t xml:space="preserve">, 129 AD3d 1300, 1302 [3d Dept 2015]; </w:t>
      </w:r>
      <w:r w:rsidRPr="00E4068C">
        <w:rPr>
          <w:rFonts w:ascii="Times New Roman" w:hAnsi="Times New Roman" w:cs="Times New Roman"/>
          <w:i/>
          <w:iCs/>
          <w:color w:val="212121"/>
          <w:sz w:val="24"/>
          <w:szCs w:val="24"/>
        </w:rPr>
        <w:t>People v Snagg</w:t>
      </w:r>
      <w:r w:rsidRPr="00E4068C">
        <w:rPr>
          <w:rFonts w:ascii="Times New Roman" w:hAnsi="Times New Roman" w:cs="Times New Roman"/>
          <w:color w:val="212121"/>
          <w:sz w:val="24"/>
          <w:szCs w:val="24"/>
        </w:rPr>
        <w:t>, 35 AD3d 1287, 1288 [4th Dept 2006];</w:t>
      </w:r>
      <w:r w:rsidRPr="00E4068C">
        <w:rPr>
          <w:rFonts w:ascii="Times New Roman" w:hAnsi="Times New Roman" w:cs="Times New Roman"/>
          <w:i/>
          <w:iCs/>
          <w:color w:val="212121"/>
          <w:sz w:val="24"/>
          <w:szCs w:val="24"/>
        </w:rPr>
        <w:t> People v Morales</w:t>
      </w:r>
      <w:r w:rsidRPr="00E4068C">
        <w:rPr>
          <w:rFonts w:ascii="Times New Roman" w:hAnsi="Times New Roman" w:cs="Times New Roman"/>
          <w:color w:val="212121"/>
          <w:sz w:val="24"/>
          <w:szCs w:val="24"/>
        </w:rPr>
        <w:t>, 309 AD2d 1065 [3d Dept 2003];</w:t>
      </w:r>
      <w:r w:rsidRPr="00E4068C">
        <w:rPr>
          <w:rFonts w:ascii="Times New Roman" w:hAnsi="Times New Roman" w:cs="Times New Roman"/>
          <w:i/>
          <w:iCs/>
          <w:color w:val="212121"/>
          <w:sz w:val="24"/>
          <w:szCs w:val="24"/>
        </w:rPr>
        <w:t> People v McKnight</w:t>
      </w:r>
      <w:r w:rsidRPr="00E4068C">
        <w:rPr>
          <w:rFonts w:ascii="Times New Roman" w:hAnsi="Times New Roman" w:cs="Times New Roman"/>
          <w:color w:val="212121"/>
          <w:sz w:val="24"/>
          <w:szCs w:val="24"/>
        </w:rPr>
        <w:t xml:space="preserve">, 281 AD2d 293 [1st Dept 2001]).  While such overt acts are not subject to exclusion pursuant to the </w:t>
      </w:r>
      <w:r w:rsidRPr="00E4068C">
        <w:rPr>
          <w:rFonts w:ascii="Times New Roman" w:hAnsi="Times New Roman" w:cs="Times New Roman"/>
          <w:i/>
          <w:color w:val="212121"/>
          <w:sz w:val="24"/>
          <w:szCs w:val="24"/>
        </w:rPr>
        <w:t>Molineux</w:t>
      </w:r>
      <w:r w:rsidRPr="00E4068C">
        <w:rPr>
          <w:rFonts w:ascii="Times New Roman" w:hAnsi="Times New Roman" w:cs="Times New Roman"/>
          <w:color w:val="212121"/>
          <w:sz w:val="24"/>
          <w:szCs w:val="24"/>
        </w:rPr>
        <w:t xml:space="preserve"> rule, their admissibility, as with all forms of evidence, may be subject to rule 1.07</w:t>
      </w:r>
      <w:r w:rsidR="00DE4F95">
        <w:rPr>
          <w:rFonts w:ascii="Times New Roman" w:hAnsi="Times New Roman" w:cs="Times New Roman"/>
          <w:color w:val="212121"/>
          <w:sz w:val="24"/>
          <w:szCs w:val="24"/>
        </w:rPr>
        <w:t xml:space="preserve"> of the Guide to New York Evidence </w:t>
      </w:r>
      <w:r w:rsidRPr="00E4068C">
        <w:rPr>
          <w:rFonts w:ascii="Times New Roman" w:hAnsi="Times New Roman" w:cs="Times New Roman"/>
          <w:color w:val="212121"/>
          <w:sz w:val="24"/>
          <w:szCs w:val="24"/>
        </w:rPr>
        <w:t xml:space="preserve">(Exclusion of Relevant Evidence).  It may therefore be advisable and the better practice (as it is for </w:t>
      </w:r>
      <w:r w:rsidRPr="00E4068C">
        <w:rPr>
          <w:rFonts w:ascii="Times New Roman" w:hAnsi="Times New Roman" w:cs="Times New Roman"/>
          <w:i/>
          <w:iCs/>
          <w:color w:val="212121"/>
          <w:sz w:val="24"/>
          <w:szCs w:val="24"/>
        </w:rPr>
        <w:t>Molineux</w:t>
      </w:r>
      <w:r w:rsidRPr="00E4068C">
        <w:rPr>
          <w:rFonts w:ascii="Times New Roman" w:hAnsi="Times New Roman" w:cs="Times New Roman"/>
          <w:color w:val="212121"/>
          <w:sz w:val="24"/>
          <w:szCs w:val="24"/>
        </w:rPr>
        <w:t xml:space="preserve"> evidence) for a court to require that it be informed before the commencement of trial of any unenumerated overt acts the People intend to prove</w:t>
      </w:r>
      <w:r w:rsidRPr="006D1D2D">
        <w:rPr>
          <w:color w:val="212121"/>
          <w:sz w:val="24"/>
          <w:szCs w:val="24"/>
        </w:rPr>
        <w:t>.</w:t>
      </w:r>
    </w:p>
    <w:p w14:paraId="6860F554" w14:textId="77777777" w:rsidR="006D1D2D" w:rsidRPr="007065F5" w:rsidRDefault="006D1D2D"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6AB07519" w14:textId="77777777" w:rsidR="00834762" w:rsidRPr="007065F5" w:rsidRDefault="00834762"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0E893B44" w14:textId="77777777" w:rsidR="00834762" w:rsidRPr="007065F5" w:rsidRDefault="007065F5"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Pr>
          <w:rFonts w:ascii="Times New Roman" w:hAnsi="Times New Roman" w:cs="Times New Roman"/>
          <w:b/>
          <w:bCs/>
          <w:color w:val="212121"/>
          <w:sz w:val="24"/>
          <w:szCs w:val="24"/>
        </w:rPr>
        <w:lastRenderedPageBreak/>
        <w:tab/>
      </w:r>
      <w:r w:rsidR="00834762" w:rsidRPr="007065F5">
        <w:rPr>
          <w:rFonts w:ascii="Times New Roman" w:hAnsi="Times New Roman" w:cs="Times New Roman"/>
          <w:b/>
          <w:bCs/>
          <w:color w:val="212121"/>
          <w:sz w:val="24"/>
          <w:szCs w:val="24"/>
        </w:rPr>
        <w:t>Subdivision (2)</w:t>
      </w:r>
      <w:r w:rsidR="00834762" w:rsidRPr="007065F5">
        <w:rPr>
          <w:rFonts w:ascii="Times New Roman" w:hAnsi="Times New Roman" w:cs="Times New Roman"/>
          <w:color w:val="212121"/>
          <w:sz w:val="24"/>
          <w:szCs w:val="24"/>
        </w:rPr>
        <w:t>. The rule in this subdivision is derived from several Court of Appeals decisions which permit evidence of a defendant’s commission of other crimes or wrongs to rebut a defense raised by the defendant. (</w:t>
      </w:r>
      <w:r w:rsidR="00834762" w:rsidRPr="007065F5">
        <w:rPr>
          <w:rFonts w:ascii="Times New Roman" w:hAnsi="Times New Roman" w:cs="Times New Roman"/>
          <w:i/>
          <w:iCs/>
          <w:color w:val="212121"/>
          <w:sz w:val="24"/>
          <w:szCs w:val="24"/>
        </w:rPr>
        <w:t>See e.g. People v Israel</w:t>
      </w:r>
      <w:r w:rsidR="00834762" w:rsidRPr="007065F5">
        <w:rPr>
          <w:rFonts w:ascii="Times New Roman" w:hAnsi="Times New Roman" w:cs="Times New Roman"/>
          <w:color w:val="212121"/>
          <w:sz w:val="24"/>
          <w:szCs w:val="24"/>
        </w:rPr>
        <w:t xml:space="preserve">, 26 NY3d 236, 242-243 [2015] [rebuttal of extreme emotional distress disturbance]; </w:t>
      </w:r>
      <w:r w:rsidR="00834762" w:rsidRPr="007065F5">
        <w:rPr>
          <w:rFonts w:ascii="Times New Roman" w:hAnsi="Times New Roman" w:cs="Times New Roman"/>
          <w:i/>
          <w:iCs/>
          <w:color w:val="212121"/>
          <w:sz w:val="24"/>
          <w:szCs w:val="24"/>
        </w:rPr>
        <w:t>People v Santarelli</w:t>
      </w:r>
      <w:r w:rsidR="00834762" w:rsidRPr="007065F5">
        <w:rPr>
          <w:rFonts w:ascii="Times New Roman" w:hAnsi="Times New Roman" w:cs="Times New Roman"/>
          <w:color w:val="212121"/>
          <w:sz w:val="24"/>
          <w:szCs w:val="24"/>
        </w:rPr>
        <w:t xml:space="preserve">, 49 NY2d 241, 248 [1980] [rebuttal of insanity defense]; </w:t>
      </w:r>
      <w:r w:rsidR="00834762" w:rsidRPr="007065F5">
        <w:rPr>
          <w:rFonts w:ascii="Times New Roman" w:hAnsi="Times New Roman" w:cs="Times New Roman"/>
          <w:i/>
          <w:iCs/>
          <w:color w:val="212121"/>
          <w:sz w:val="24"/>
          <w:szCs w:val="24"/>
        </w:rPr>
        <w:t>People v Calvano</w:t>
      </w:r>
      <w:r w:rsidR="00834762" w:rsidRPr="007065F5">
        <w:rPr>
          <w:rFonts w:ascii="Times New Roman" w:hAnsi="Times New Roman" w:cs="Times New Roman"/>
          <w:color w:val="212121"/>
          <w:sz w:val="24"/>
          <w:szCs w:val="24"/>
        </w:rPr>
        <w:t xml:space="preserve">, 30 NY2d 199 [1972] [rebuttal of entrapment defense].) </w:t>
      </w:r>
    </w:p>
    <w:p w14:paraId="41B36ADB" w14:textId="77777777" w:rsidR="00834762" w:rsidRPr="007065F5" w:rsidRDefault="00834762"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1B173485" w14:textId="77777777" w:rsidR="00834762" w:rsidRPr="007065F5" w:rsidRDefault="007065F5" w:rsidP="007065F5">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Pr>
          <w:rFonts w:ascii="Times New Roman" w:hAnsi="Times New Roman" w:cs="Times New Roman"/>
          <w:color w:val="212121"/>
          <w:sz w:val="24"/>
          <w:szCs w:val="24"/>
        </w:rPr>
        <w:tab/>
      </w:r>
      <w:r w:rsidR="00834762" w:rsidRPr="007065F5">
        <w:rPr>
          <w:rFonts w:ascii="Times New Roman" w:hAnsi="Times New Roman" w:cs="Times New Roman"/>
          <w:color w:val="212121"/>
          <w:sz w:val="24"/>
          <w:szCs w:val="24"/>
        </w:rPr>
        <w:t xml:space="preserve">Notably, in </w:t>
      </w:r>
      <w:r w:rsidR="00834762" w:rsidRPr="007065F5">
        <w:rPr>
          <w:rFonts w:ascii="Times New Roman" w:hAnsi="Times New Roman" w:cs="Times New Roman"/>
          <w:i/>
          <w:iCs/>
          <w:color w:val="212121"/>
          <w:sz w:val="24"/>
          <w:szCs w:val="24"/>
        </w:rPr>
        <w:t>People v Valentin</w:t>
      </w:r>
      <w:r w:rsidR="00834762" w:rsidRPr="007065F5">
        <w:rPr>
          <w:rFonts w:ascii="Times New Roman" w:hAnsi="Times New Roman" w:cs="Times New Roman"/>
          <w:color w:val="212121"/>
          <w:sz w:val="24"/>
          <w:szCs w:val="24"/>
        </w:rPr>
        <w:t xml:space="preserve"> (29 NY3d 150 [2017]) where the defendant did not present evidence of an agency defense, but rather interposed the defense based on the People’s evidence, the People were entitled to prove the defendant’s prior conviction for a drug sale on t</w:t>
      </w:r>
      <w:r>
        <w:rPr>
          <w:rFonts w:ascii="Times New Roman" w:hAnsi="Times New Roman" w:cs="Times New Roman"/>
          <w:color w:val="212121"/>
          <w:sz w:val="24"/>
          <w:szCs w:val="24"/>
        </w:rPr>
        <w:t>he issue of his intent to sell.</w:t>
      </w:r>
    </w:p>
    <w:sectPr w:rsidR="00834762" w:rsidRPr="007065F5" w:rsidSect="00DA13FB">
      <w:footerReference w:type="default" r:id="rId7"/>
      <w:type w:val="continuous"/>
      <w:pgSz w:w="12240" w:h="15840"/>
      <w:pgMar w:top="1440" w:right="2160" w:bottom="1440" w:left="2160" w:header="144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B70ED" w14:textId="77777777" w:rsidR="006B27AC" w:rsidRDefault="006B27AC" w:rsidP="007065F5">
      <w:r>
        <w:separator/>
      </w:r>
    </w:p>
  </w:endnote>
  <w:endnote w:type="continuationSeparator" w:id="0">
    <w:p w14:paraId="5998265D" w14:textId="77777777" w:rsidR="006B27AC" w:rsidRDefault="006B27AC" w:rsidP="00706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2B6A2" w14:textId="77777777" w:rsidR="007065F5" w:rsidRDefault="007065F5">
    <w:pPr>
      <w:pStyle w:val="Footer"/>
      <w:jc w:val="center"/>
    </w:pPr>
    <w:r>
      <w:fldChar w:fldCharType="begin"/>
    </w:r>
    <w:r>
      <w:instrText xml:space="preserve"> PAGE   \* MERGEFORMAT </w:instrText>
    </w:r>
    <w:r>
      <w:fldChar w:fldCharType="separate"/>
    </w:r>
    <w:r w:rsidR="00BA6558">
      <w:rPr>
        <w:noProof/>
      </w:rPr>
      <w:t>4</w:t>
    </w:r>
    <w:r>
      <w:fldChar w:fldCharType="end"/>
    </w:r>
  </w:p>
  <w:p w14:paraId="73954608" w14:textId="77777777" w:rsidR="007065F5" w:rsidRDefault="00706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C914D" w14:textId="77777777" w:rsidR="006B27AC" w:rsidRDefault="006B27AC" w:rsidP="007065F5">
      <w:r>
        <w:separator/>
      </w:r>
    </w:p>
  </w:footnote>
  <w:footnote w:type="continuationSeparator" w:id="0">
    <w:p w14:paraId="374EFC22" w14:textId="77777777" w:rsidR="006B27AC" w:rsidRDefault="006B27AC" w:rsidP="00706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F4ECF"/>
    <w:multiLevelType w:val="multilevel"/>
    <w:tmpl w:val="2CE6E58E"/>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16cid:durableId="185603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5F5"/>
    <w:rsid w:val="0004743E"/>
    <w:rsid w:val="000E5BB1"/>
    <w:rsid w:val="0014353A"/>
    <w:rsid w:val="00153D90"/>
    <w:rsid w:val="00170B04"/>
    <w:rsid w:val="00170D61"/>
    <w:rsid w:val="001A3EAA"/>
    <w:rsid w:val="002C1513"/>
    <w:rsid w:val="00310143"/>
    <w:rsid w:val="00343B27"/>
    <w:rsid w:val="003D1434"/>
    <w:rsid w:val="004363EA"/>
    <w:rsid w:val="004D11D5"/>
    <w:rsid w:val="00622901"/>
    <w:rsid w:val="006B1007"/>
    <w:rsid w:val="006B27AC"/>
    <w:rsid w:val="006D1D2D"/>
    <w:rsid w:val="006D7795"/>
    <w:rsid w:val="007065F5"/>
    <w:rsid w:val="007308D3"/>
    <w:rsid w:val="0073416B"/>
    <w:rsid w:val="007E0649"/>
    <w:rsid w:val="00817222"/>
    <w:rsid w:val="00834762"/>
    <w:rsid w:val="00866EE9"/>
    <w:rsid w:val="0087271D"/>
    <w:rsid w:val="009D0C53"/>
    <w:rsid w:val="00A200D9"/>
    <w:rsid w:val="00AD60A5"/>
    <w:rsid w:val="00B1067D"/>
    <w:rsid w:val="00B343C7"/>
    <w:rsid w:val="00BA6558"/>
    <w:rsid w:val="00BD73DC"/>
    <w:rsid w:val="00C5376B"/>
    <w:rsid w:val="00C7732A"/>
    <w:rsid w:val="00CA044D"/>
    <w:rsid w:val="00D45C42"/>
    <w:rsid w:val="00D93BD6"/>
    <w:rsid w:val="00DA13FB"/>
    <w:rsid w:val="00DE21CD"/>
    <w:rsid w:val="00DE4F95"/>
    <w:rsid w:val="00E07232"/>
    <w:rsid w:val="00E4068C"/>
    <w:rsid w:val="00FE345D"/>
    <w:rsid w:val="00FE5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0CF8D7"/>
  <w14:defaultImageDpi w14:val="0"/>
  <w15:docId w15:val="{A0B21E66-8891-4230-8F32-8E88E83DA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3-1">
    <w:name w:val="L3-1"/>
    <w:uiPriority w:val="99"/>
    <w:pPr>
      <w:widowControl w:val="0"/>
      <w:autoSpaceDE w:val="0"/>
      <w:autoSpaceDN w:val="0"/>
      <w:adjustRightInd w:val="0"/>
      <w:ind w:left="1212" w:hanging="492"/>
      <w:jc w:val="both"/>
    </w:pPr>
    <w:rPr>
      <w:rFonts w:ascii="Times New Roman" w:hAnsi="Times New Roman" w:cs="Times New Roman"/>
      <w:sz w:val="24"/>
      <w:szCs w:val="24"/>
    </w:rPr>
  </w:style>
  <w:style w:type="paragraph" w:customStyle="1" w:styleId="L3-2">
    <w:name w:val="L3-2"/>
    <w:uiPriority w:val="99"/>
    <w:pPr>
      <w:widowControl w:val="0"/>
      <w:autoSpaceDE w:val="0"/>
      <w:autoSpaceDN w:val="0"/>
      <w:adjustRightInd w:val="0"/>
      <w:ind w:left="1800" w:hanging="360"/>
      <w:jc w:val="both"/>
    </w:pPr>
    <w:rPr>
      <w:rFonts w:ascii="Times New Roman" w:hAnsi="Times New Roman" w:cs="Times New Roman"/>
      <w:sz w:val="24"/>
      <w:szCs w:val="24"/>
    </w:rPr>
  </w:style>
  <w:style w:type="paragraph" w:customStyle="1" w:styleId="L3-3">
    <w:name w:val="L3-3"/>
    <w:uiPriority w:val="99"/>
    <w:pPr>
      <w:widowControl w:val="0"/>
      <w:autoSpaceDE w:val="0"/>
      <w:autoSpaceDN w:val="0"/>
      <w:adjustRightInd w:val="0"/>
      <w:ind w:left="2520" w:hanging="180"/>
      <w:jc w:val="both"/>
    </w:pPr>
    <w:rPr>
      <w:rFonts w:ascii="Times New Roman" w:hAnsi="Times New Roman" w:cs="Times New Roman"/>
      <w:sz w:val="24"/>
      <w:szCs w:val="24"/>
    </w:rPr>
  </w:style>
  <w:style w:type="paragraph" w:customStyle="1" w:styleId="L3-4">
    <w:name w:val="L3-4"/>
    <w:uiPriority w:val="99"/>
    <w:pPr>
      <w:widowControl w:val="0"/>
      <w:autoSpaceDE w:val="0"/>
      <w:autoSpaceDN w:val="0"/>
      <w:adjustRightInd w:val="0"/>
      <w:ind w:left="3240" w:hanging="360"/>
      <w:jc w:val="both"/>
    </w:pPr>
    <w:rPr>
      <w:rFonts w:ascii="Times New Roman" w:hAnsi="Times New Roman" w:cs="Times New Roman"/>
      <w:sz w:val="24"/>
      <w:szCs w:val="24"/>
    </w:rPr>
  </w:style>
  <w:style w:type="paragraph" w:customStyle="1" w:styleId="L3-5">
    <w:name w:val="L3-5"/>
    <w:uiPriority w:val="99"/>
    <w:pPr>
      <w:widowControl w:val="0"/>
      <w:autoSpaceDE w:val="0"/>
      <w:autoSpaceDN w:val="0"/>
      <w:adjustRightInd w:val="0"/>
      <w:ind w:left="3960" w:hanging="360"/>
      <w:jc w:val="both"/>
    </w:pPr>
    <w:rPr>
      <w:rFonts w:ascii="Times New Roman" w:hAnsi="Times New Roman" w:cs="Times New Roman"/>
      <w:sz w:val="24"/>
      <w:szCs w:val="24"/>
    </w:rPr>
  </w:style>
  <w:style w:type="paragraph" w:customStyle="1" w:styleId="L3-6">
    <w:name w:val="L3-6"/>
    <w:uiPriority w:val="99"/>
    <w:pPr>
      <w:widowControl w:val="0"/>
      <w:autoSpaceDE w:val="0"/>
      <w:autoSpaceDN w:val="0"/>
      <w:adjustRightInd w:val="0"/>
      <w:ind w:left="4680" w:hanging="180"/>
      <w:jc w:val="both"/>
    </w:pPr>
    <w:rPr>
      <w:rFonts w:ascii="Times New Roman" w:hAnsi="Times New Roman" w:cs="Times New Roman"/>
      <w:sz w:val="24"/>
      <w:szCs w:val="24"/>
    </w:rPr>
  </w:style>
  <w:style w:type="paragraph" w:customStyle="1" w:styleId="L3-7">
    <w:name w:val="L3-7"/>
    <w:uiPriority w:val="99"/>
    <w:pPr>
      <w:widowControl w:val="0"/>
      <w:autoSpaceDE w:val="0"/>
      <w:autoSpaceDN w:val="0"/>
      <w:adjustRightInd w:val="0"/>
      <w:ind w:left="5400" w:hanging="360"/>
      <w:jc w:val="both"/>
    </w:pPr>
    <w:rPr>
      <w:rFonts w:ascii="Times New Roman" w:hAnsi="Times New Roman" w:cs="Times New Roman"/>
      <w:sz w:val="24"/>
      <w:szCs w:val="24"/>
    </w:rPr>
  </w:style>
  <w:style w:type="paragraph" w:customStyle="1" w:styleId="L3-8">
    <w:name w:val="L3-8"/>
    <w:uiPriority w:val="99"/>
    <w:pPr>
      <w:widowControl w:val="0"/>
      <w:autoSpaceDE w:val="0"/>
      <w:autoSpaceDN w:val="0"/>
      <w:adjustRightInd w:val="0"/>
      <w:ind w:left="6120" w:hanging="3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cs="Times New Roman"/>
      <w:b/>
      <w:bCs/>
      <w:sz w:val="24"/>
      <w:szCs w:val="24"/>
    </w:rPr>
  </w:style>
  <w:style w:type="paragraph" w:customStyle="1" w:styleId="ListParagra">
    <w:name w:val="List Paragra"/>
    <w:uiPriority w:val="99"/>
    <w:pPr>
      <w:widowControl w:val="0"/>
      <w:autoSpaceDE w:val="0"/>
      <w:autoSpaceDN w:val="0"/>
      <w:adjustRightInd w:val="0"/>
      <w:spacing w:after="159" w:line="258" w:lineRule="auto"/>
      <w:ind w:left="720"/>
      <w:jc w:val="both"/>
    </w:pPr>
    <w:rPr>
      <w:sz w:val="22"/>
      <w:szCs w:val="22"/>
    </w:rPr>
  </w:style>
  <w:style w:type="paragraph" w:styleId="NoSpacing">
    <w:name w:val="No Spacing"/>
    <w:uiPriority w:val="99"/>
    <w:qFormat/>
    <w:pPr>
      <w:widowControl w:val="0"/>
      <w:autoSpaceDE w:val="0"/>
      <w:autoSpaceDN w:val="0"/>
      <w:adjustRightInd w:val="0"/>
      <w:jc w:val="both"/>
    </w:pPr>
    <w:rPr>
      <w:sz w:val="22"/>
      <w:szCs w:val="22"/>
    </w:rPr>
  </w:style>
  <w:style w:type="paragraph" w:customStyle="1" w:styleId="L3-9">
    <w:name w:val="L3-9"/>
    <w:uiPriority w:val="99"/>
    <w:pPr>
      <w:widowControl w:val="0"/>
      <w:autoSpaceDE w:val="0"/>
      <w:autoSpaceDN w:val="0"/>
      <w:adjustRightInd w:val="0"/>
      <w:ind w:left="6840" w:hanging="180"/>
      <w:jc w:val="both"/>
    </w:pPr>
    <w:rPr>
      <w:rFonts w:ascii="Times New Roman" w:hAnsi="Times New Roman" w:cs="Times New Roman"/>
      <w:sz w:val="24"/>
      <w:szCs w:val="24"/>
    </w:rPr>
  </w:style>
  <w:style w:type="paragraph" w:styleId="Header">
    <w:name w:val="header"/>
    <w:basedOn w:val="Normal"/>
    <w:link w:val="HeaderChar"/>
    <w:uiPriority w:val="99"/>
    <w:unhideWhenUsed/>
    <w:rsid w:val="007065F5"/>
    <w:pPr>
      <w:tabs>
        <w:tab w:val="center" w:pos="4680"/>
        <w:tab w:val="right" w:pos="9360"/>
      </w:tabs>
    </w:pPr>
  </w:style>
  <w:style w:type="character" w:customStyle="1" w:styleId="HeaderChar">
    <w:name w:val="Header Char"/>
    <w:basedOn w:val="DefaultParagraphFont"/>
    <w:link w:val="Header"/>
    <w:uiPriority w:val="99"/>
    <w:locked/>
    <w:rsid w:val="007065F5"/>
    <w:rPr>
      <w:rFonts w:ascii="Times New Roman" w:hAnsi="Times New Roman" w:cs="Times New Roman"/>
      <w:sz w:val="20"/>
    </w:rPr>
  </w:style>
  <w:style w:type="paragraph" w:styleId="Footer">
    <w:name w:val="footer"/>
    <w:basedOn w:val="Normal"/>
    <w:link w:val="FooterChar"/>
    <w:uiPriority w:val="99"/>
    <w:unhideWhenUsed/>
    <w:rsid w:val="007065F5"/>
    <w:pPr>
      <w:tabs>
        <w:tab w:val="center" w:pos="4680"/>
        <w:tab w:val="right" w:pos="9360"/>
      </w:tabs>
    </w:pPr>
  </w:style>
  <w:style w:type="character" w:customStyle="1" w:styleId="FooterChar">
    <w:name w:val="Footer Char"/>
    <w:basedOn w:val="DefaultParagraphFont"/>
    <w:link w:val="Footer"/>
    <w:uiPriority w:val="99"/>
    <w:locked/>
    <w:rsid w:val="007065F5"/>
    <w:rPr>
      <w:rFonts w:ascii="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1460</Words>
  <Characters>7347</Characters>
  <Application>Microsoft Office Word</Application>
  <DocSecurity>0</DocSecurity>
  <Lines>146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Bill Donnino</cp:lastModifiedBy>
  <cp:revision>22</cp:revision>
  <cp:lastPrinted>2023-11-19T03:49:00Z</cp:lastPrinted>
  <dcterms:created xsi:type="dcterms:W3CDTF">2017-10-12T17:17:00Z</dcterms:created>
  <dcterms:modified xsi:type="dcterms:W3CDTF">2023-11-19T03:49:00Z</dcterms:modified>
</cp:coreProperties>
</file>