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468B" w14:textId="62557F21" w:rsidR="00686A7C" w:rsidRPr="00420E42" w:rsidRDefault="00BC2419"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720"/>
        <w:jc w:val="both"/>
        <w:rPr>
          <w:b/>
          <w:bCs/>
          <w:sz w:val="28"/>
          <w:szCs w:val="28"/>
        </w:rPr>
      </w:pPr>
      <w:r w:rsidRPr="00420E42">
        <w:rPr>
          <w:sz w:val="28"/>
          <w:szCs w:val="28"/>
          <w:lang w:val="en-CA"/>
        </w:rPr>
        <w:fldChar w:fldCharType="begin"/>
      </w:r>
      <w:r w:rsidRPr="00420E42">
        <w:rPr>
          <w:sz w:val="28"/>
          <w:szCs w:val="28"/>
          <w:lang w:val="en-CA"/>
        </w:rPr>
        <w:instrText xml:space="preserve"> SEQ CHAPTER \h \r 1</w:instrText>
      </w:r>
      <w:r w:rsidRPr="00420E42">
        <w:rPr>
          <w:sz w:val="28"/>
          <w:szCs w:val="28"/>
          <w:lang w:val="en-CA"/>
        </w:rPr>
        <w:fldChar w:fldCharType="end"/>
      </w:r>
      <w:r w:rsidRPr="00420E42">
        <w:rPr>
          <w:b/>
          <w:bCs/>
          <w:sz w:val="28"/>
          <w:szCs w:val="28"/>
        </w:rPr>
        <w:t>11.11</w:t>
      </w:r>
      <w:r w:rsidR="002B173A">
        <w:rPr>
          <w:b/>
          <w:bCs/>
          <w:sz w:val="28"/>
          <w:szCs w:val="28"/>
        </w:rPr>
        <w:t>.</w:t>
      </w:r>
      <w:r w:rsidRPr="00420E42">
        <w:rPr>
          <w:b/>
          <w:bCs/>
          <w:sz w:val="28"/>
          <w:szCs w:val="28"/>
        </w:rPr>
        <w:t xml:space="preserve"> </w:t>
      </w:r>
      <w:r w:rsidR="002B173A">
        <w:rPr>
          <w:b/>
          <w:bCs/>
          <w:sz w:val="28"/>
          <w:szCs w:val="28"/>
        </w:rPr>
        <w:t xml:space="preserve">Exhibition of a </w:t>
      </w:r>
      <w:r w:rsidRPr="00420E42">
        <w:rPr>
          <w:b/>
          <w:bCs/>
          <w:sz w:val="28"/>
          <w:szCs w:val="28"/>
        </w:rPr>
        <w:t>Person’s Appearance</w:t>
      </w:r>
      <w:r w:rsidR="00DF4274" w:rsidRPr="00420E42">
        <w:rPr>
          <w:b/>
          <w:bCs/>
          <w:sz w:val="28"/>
          <w:szCs w:val="28"/>
        </w:rPr>
        <w:t>, Condition,</w:t>
      </w:r>
      <w:r w:rsidR="00E42CAE" w:rsidRPr="00420E42">
        <w:rPr>
          <w:b/>
          <w:bCs/>
          <w:sz w:val="28"/>
          <w:szCs w:val="28"/>
        </w:rPr>
        <w:t xml:space="preserve"> </w:t>
      </w:r>
      <w:r w:rsidRPr="00420E42">
        <w:rPr>
          <w:b/>
          <w:bCs/>
          <w:sz w:val="28"/>
          <w:szCs w:val="28"/>
        </w:rPr>
        <w:t>or Capability</w:t>
      </w:r>
      <w:r w:rsidR="00667315" w:rsidRPr="00420E42">
        <w:rPr>
          <w:rStyle w:val="EndnoteReference"/>
          <w:sz w:val="28"/>
          <w:szCs w:val="28"/>
          <w:lang w:val="en-CA"/>
        </w:rPr>
        <w:endnoteReference w:id="1"/>
      </w:r>
    </w:p>
    <w:p w14:paraId="59630FAC" w14:textId="77777777" w:rsidR="00686A7C" w:rsidRPr="00420E42" w:rsidRDefault="00686A7C"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576"/>
        <w:jc w:val="both"/>
        <w:rPr>
          <w:b/>
          <w:bCs/>
          <w:sz w:val="28"/>
          <w:szCs w:val="28"/>
        </w:rPr>
      </w:pPr>
    </w:p>
    <w:p w14:paraId="3C3E7586" w14:textId="04C40F7B" w:rsidR="00D52CE7" w:rsidRPr="00420E42" w:rsidRDefault="00BC2419"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left="720" w:right="720"/>
        <w:jc w:val="both"/>
        <w:rPr>
          <w:b/>
          <w:bCs/>
          <w:sz w:val="28"/>
          <w:szCs w:val="28"/>
        </w:rPr>
      </w:pPr>
      <w:r w:rsidRPr="00420E42">
        <w:rPr>
          <w:b/>
          <w:bCs/>
          <w:sz w:val="28"/>
          <w:szCs w:val="28"/>
        </w:rPr>
        <w:t xml:space="preserve">When </w:t>
      </w:r>
      <w:bookmarkStart w:id="0" w:name="_Hlk125458882"/>
      <w:r w:rsidRPr="00420E42">
        <w:rPr>
          <w:b/>
          <w:bCs/>
          <w:sz w:val="28"/>
          <w:szCs w:val="28"/>
        </w:rPr>
        <w:t xml:space="preserve">a person’s appearance, condition, or capability </w:t>
      </w:r>
      <w:bookmarkEnd w:id="0"/>
      <w:r w:rsidRPr="00420E42">
        <w:rPr>
          <w:b/>
          <w:bCs/>
          <w:sz w:val="28"/>
          <w:szCs w:val="28"/>
        </w:rPr>
        <w:t>is relevant to an issue in a proceeding, the appropriate aspect of the person’s appearance, condition, or capability may</w:t>
      </w:r>
      <w:r w:rsidR="00204A42" w:rsidRPr="00420E42">
        <w:rPr>
          <w:b/>
          <w:bCs/>
          <w:sz w:val="28"/>
          <w:szCs w:val="28"/>
        </w:rPr>
        <w:t xml:space="preserve"> </w:t>
      </w:r>
      <w:r w:rsidRPr="00420E42">
        <w:rPr>
          <w:b/>
          <w:bCs/>
          <w:sz w:val="28"/>
          <w:szCs w:val="28"/>
        </w:rPr>
        <w:t>be exhibited to the trier of fact</w:t>
      </w:r>
      <w:r w:rsidR="00CD568A" w:rsidRPr="00420E42">
        <w:rPr>
          <w:b/>
          <w:bCs/>
          <w:sz w:val="28"/>
          <w:szCs w:val="28"/>
        </w:rPr>
        <w:t>,</w:t>
      </w:r>
      <w:r w:rsidR="0096537E" w:rsidRPr="00420E42">
        <w:rPr>
          <w:b/>
          <w:bCs/>
          <w:sz w:val="28"/>
          <w:szCs w:val="28"/>
        </w:rPr>
        <w:t xml:space="preserve"> p</w:t>
      </w:r>
      <w:r w:rsidR="00834AA3" w:rsidRPr="00420E42">
        <w:rPr>
          <w:b/>
          <w:bCs/>
          <w:sz w:val="28"/>
          <w:szCs w:val="28"/>
        </w:rPr>
        <w:t xml:space="preserve">rovided the </w:t>
      </w:r>
      <w:r w:rsidR="005A635B" w:rsidRPr="00420E42">
        <w:rPr>
          <w:b/>
          <w:bCs/>
          <w:sz w:val="28"/>
          <w:szCs w:val="28"/>
        </w:rPr>
        <w:t xml:space="preserve">proffered exhibition </w:t>
      </w:r>
      <w:r w:rsidR="00AC5BD2" w:rsidRPr="00420E42">
        <w:rPr>
          <w:b/>
          <w:bCs/>
          <w:sz w:val="28"/>
          <w:szCs w:val="28"/>
        </w:rPr>
        <w:t>is probative</w:t>
      </w:r>
      <w:r w:rsidR="00E24618" w:rsidRPr="00420E42">
        <w:rPr>
          <w:b/>
          <w:bCs/>
          <w:sz w:val="28"/>
          <w:szCs w:val="28"/>
        </w:rPr>
        <w:t xml:space="preserve"> </w:t>
      </w:r>
      <w:r w:rsidR="000F5A82" w:rsidRPr="00420E42">
        <w:rPr>
          <w:b/>
          <w:bCs/>
          <w:sz w:val="28"/>
          <w:szCs w:val="28"/>
        </w:rPr>
        <w:t xml:space="preserve">and </w:t>
      </w:r>
      <w:r w:rsidR="002336E7" w:rsidRPr="00420E42">
        <w:rPr>
          <w:b/>
          <w:bCs/>
          <w:sz w:val="28"/>
          <w:szCs w:val="28"/>
        </w:rPr>
        <w:t>the pro</w:t>
      </w:r>
      <w:r w:rsidR="00186CD4" w:rsidRPr="00420E42">
        <w:rPr>
          <w:b/>
          <w:bCs/>
          <w:sz w:val="28"/>
          <w:szCs w:val="28"/>
        </w:rPr>
        <w:t xml:space="preserve">bative value in </w:t>
      </w:r>
      <w:r w:rsidR="000F5A82" w:rsidRPr="00420E42">
        <w:rPr>
          <w:b/>
          <w:bCs/>
          <w:sz w:val="28"/>
          <w:szCs w:val="28"/>
        </w:rPr>
        <w:t xml:space="preserve">exhibiting the person’s appearance, condition, or capability </w:t>
      </w:r>
      <w:r w:rsidR="00DA61A2" w:rsidRPr="00420E42">
        <w:rPr>
          <w:b/>
          <w:bCs/>
          <w:sz w:val="28"/>
          <w:szCs w:val="28"/>
        </w:rPr>
        <w:t>i</w:t>
      </w:r>
      <w:r w:rsidR="00186CD4" w:rsidRPr="00420E42">
        <w:rPr>
          <w:b/>
          <w:bCs/>
          <w:sz w:val="28"/>
          <w:szCs w:val="28"/>
        </w:rPr>
        <w:t xml:space="preserve">s </w:t>
      </w:r>
      <w:r w:rsidR="0096537E" w:rsidRPr="00420E42">
        <w:rPr>
          <w:b/>
          <w:bCs/>
          <w:sz w:val="28"/>
          <w:szCs w:val="28"/>
        </w:rPr>
        <w:t xml:space="preserve">not </w:t>
      </w:r>
      <w:r w:rsidR="0040709C" w:rsidRPr="00420E42">
        <w:rPr>
          <w:b/>
          <w:bCs/>
          <w:sz w:val="28"/>
          <w:szCs w:val="28"/>
        </w:rPr>
        <w:t>outweighed</w:t>
      </w:r>
      <w:r w:rsidR="00186CD4" w:rsidRPr="00420E42">
        <w:rPr>
          <w:b/>
          <w:bCs/>
          <w:sz w:val="28"/>
          <w:szCs w:val="28"/>
        </w:rPr>
        <w:t xml:space="preserve"> by </w:t>
      </w:r>
      <w:r w:rsidR="0040709C" w:rsidRPr="00420E42">
        <w:rPr>
          <w:b/>
          <w:bCs/>
          <w:sz w:val="28"/>
          <w:szCs w:val="28"/>
        </w:rPr>
        <w:t>undue prejudice</w:t>
      </w:r>
      <w:bookmarkStart w:id="1" w:name="_Hlk125466341"/>
      <w:r w:rsidR="006B174A" w:rsidRPr="00420E42">
        <w:rPr>
          <w:b/>
          <w:bCs/>
          <w:sz w:val="28"/>
          <w:szCs w:val="28"/>
        </w:rPr>
        <w:t>.</w:t>
      </w:r>
    </w:p>
    <w:bookmarkEnd w:id="1"/>
    <w:p w14:paraId="193F550E" w14:textId="77777777" w:rsidR="000F5A82" w:rsidRPr="00420E42" w:rsidRDefault="000F5A82"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720"/>
        <w:jc w:val="both"/>
        <w:rPr>
          <w:b/>
          <w:bCs/>
          <w:sz w:val="28"/>
          <w:szCs w:val="28"/>
        </w:rPr>
      </w:pPr>
    </w:p>
    <w:p w14:paraId="38C10703" w14:textId="77777777" w:rsidR="00686A7C" w:rsidRPr="00420E42" w:rsidRDefault="00BC2419" w:rsidP="00C2388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420E42">
        <w:rPr>
          <w:b/>
          <w:bCs/>
          <w:sz w:val="24"/>
          <w:szCs w:val="24"/>
        </w:rPr>
        <w:t>Note</w:t>
      </w:r>
    </w:p>
    <w:p w14:paraId="6036DD8C" w14:textId="77777777" w:rsidR="00686A7C" w:rsidRPr="00420E42" w:rsidRDefault="00686A7C" w:rsidP="00C2388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ind w:right="-288"/>
        <w:jc w:val="both"/>
        <w:rPr>
          <w:b/>
          <w:bCs/>
          <w:sz w:val="24"/>
          <w:szCs w:val="24"/>
        </w:rPr>
      </w:pPr>
    </w:p>
    <w:p w14:paraId="6D81D28A" w14:textId="3D470396" w:rsidR="00686A7C" w:rsidRPr="00420E42" w:rsidRDefault="00BC2419"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420E42">
        <w:rPr>
          <w:sz w:val="24"/>
          <w:szCs w:val="24"/>
        </w:rPr>
        <w:tab/>
        <w:t>This rule is derived from long-standing Court of Appeals precedent (</w:t>
      </w:r>
      <w:r w:rsidRPr="00420E42">
        <w:rPr>
          <w:i/>
          <w:iCs/>
          <w:sz w:val="24"/>
          <w:szCs w:val="24"/>
        </w:rPr>
        <w:t>Harvey v Mazal Am. Partners</w:t>
      </w:r>
      <w:r w:rsidRPr="00420E42">
        <w:rPr>
          <w:sz w:val="24"/>
          <w:szCs w:val="24"/>
        </w:rPr>
        <w:t>, 79 NY2d 218, 223-22</w:t>
      </w:r>
      <w:r w:rsidR="009040AF" w:rsidRPr="00420E42">
        <w:rPr>
          <w:sz w:val="24"/>
          <w:szCs w:val="24"/>
        </w:rPr>
        <w:t>6</w:t>
      </w:r>
      <w:r w:rsidRPr="00420E42">
        <w:rPr>
          <w:sz w:val="24"/>
          <w:szCs w:val="24"/>
        </w:rPr>
        <w:t xml:space="preserve"> [1992] [exhibiting brain-damaged plaintiff, who was not sworn as witness, and asking him questions to show his condition]; </w:t>
      </w:r>
      <w:r w:rsidRPr="00420E42">
        <w:rPr>
          <w:i/>
          <w:iCs/>
          <w:sz w:val="24"/>
          <w:szCs w:val="24"/>
        </w:rPr>
        <w:t>de Baillet-Latour v de Baillet-Latour</w:t>
      </w:r>
      <w:r w:rsidRPr="00420E42">
        <w:rPr>
          <w:sz w:val="24"/>
          <w:szCs w:val="24"/>
        </w:rPr>
        <w:t>, 301 NY 428, 433-434 [1950] [in annulment action wife was allowed to exhibit conspicuous scars on her body</w:t>
      </w:r>
      <w:r w:rsidR="005E42C2" w:rsidRPr="00420E42">
        <w:rPr>
          <w:sz w:val="24"/>
          <w:szCs w:val="24"/>
        </w:rPr>
        <w:t>,</w:t>
      </w:r>
      <w:r w:rsidRPr="00420E42">
        <w:rPr>
          <w:sz w:val="24"/>
          <w:szCs w:val="24"/>
        </w:rPr>
        <w:t xml:space="preserve"> the existence of which her husband had denied]; </w:t>
      </w:r>
      <w:r w:rsidRPr="00420E42">
        <w:rPr>
          <w:i/>
          <w:iCs/>
          <w:sz w:val="24"/>
          <w:szCs w:val="24"/>
        </w:rPr>
        <w:t>Clark v Brooklyn Hgts. R.R. Co.</w:t>
      </w:r>
      <w:r w:rsidRPr="00420E42">
        <w:rPr>
          <w:sz w:val="24"/>
          <w:szCs w:val="24"/>
        </w:rPr>
        <w:t>, 177 NY 359 [1904] [no error present where trial court permitted the plaintiff, who had been injured in a collision, to leave the witness stand assisted and to exhibit himself to the jury in the act of writing his name and taking a drink of water as the display was designed to illustrate the plaintiff</w:t>
      </w:r>
      <w:r w:rsidR="000303FF" w:rsidRPr="00420E42">
        <w:rPr>
          <w:sz w:val="24"/>
          <w:szCs w:val="24"/>
        </w:rPr>
        <w:t>’</w:t>
      </w:r>
      <w:r w:rsidRPr="00420E42">
        <w:rPr>
          <w:sz w:val="24"/>
          <w:szCs w:val="24"/>
        </w:rPr>
        <w:t xml:space="preserve">s testimony that he was afflicted by a tremor and could use his hands only with difficulty]; </w:t>
      </w:r>
      <w:r w:rsidRPr="00420E42">
        <w:rPr>
          <w:i/>
          <w:iCs/>
          <w:sz w:val="24"/>
          <w:szCs w:val="24"/>
        </w:rPr>
        <w:t>Mulhado v Brooklyn City R.R. Co.</w:t>
      </w:r>
      <w:r w:rsidRPr="00420E42">
        <w:rPr>
          <w:sz w:val="24"/>
          <w:szCs w:val="24"/>
        </w:rPr>
        <w:t>, 30 NY 370, 372 [1864] [exhibition of injured arm “tended to make the description of the injury more intelligible”]</w:t>
      </w:r>
      <w:r w:rsidR="00A91493" w:rsidRPr="00420E42">
        <w:rPr>
          <w:sz w:val="24"/>
          <w:szCs w:val="24"/>
        </w:rPr>
        <w:t>).</w:t>
      </w:r>
    </w:p>
    <w:p w14:paraId="77D2F07C" w14:textId="77777777" w:rsidR="00CE3B8C" w:rsidRPr="00420E42" w:rsidRDefault="00CE3B8C"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1E711E32" w14:textId="17FD817E" w:rsidR="00686A7C" w:rsidRPr="00420E42" w:rsidRDefault="00BC2419"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420E42">
        <w:rPr>
          <w:b/>
          <w:bCs/>
          <w:sz w:val="24"/>
          <w:szCs w:val="24"/>
        </w:rPr>
        <w:tab/>
      </w:r>
      <w:r w:rsidRPr="00420E42">
        <w:rPr>
          <w:sz w:val="24"/>
          <w:szCs w:val="24"/>
        </w:rPr>
        <w:t xml:space="preserve">In </w:t>
      </w:r>
      <w:r w:rsidRPr="00420E42">
        <w:rPr>
          <w:i/>
          <w:iCs/>
          <w:sz w:val="24"/>
          <w:szCs w:val="24"/>
        </w:rPr>
        <w:t>Harvey</w:t>
      </w:r>
      <w:r w:rsidRPr="00420E42">
        <w:rPr>
          <w:sz w:val="24"/>
          <w:szCs w:val="24"/>
        </w:rPr>
        <w:t>, the Court was concerned that an exhibition of a party’s injuries “when ill-designed or not properly relevant to the point at issue, instead of being helpful” could “mislead, confuse, divert or otherwise prejudice the purposes of the trial</w:t>
      </w:r>
      <w:r w:rsidR="000303FF" w:rsidRPr="00420E42">
        <w:rPr>
          <w:sz w:val="24"/>
          <w:szCs w:val="24"/>
        </w:rPr>
        <w:t>”</w:t>
      </w:r>
      <w:r w:rsidRPr="00420E42">
        <w:rPr>
          <w:sz w:val="24"/>
          <w:szCs w:val="24"/>
        </w:rPr>
        <w:t xml:space="preserve"> (</w:t>
      </w:r>
      <w:r w:rsidRPr="00420E42">
        <w:rPr>
          <w:i/>
          <w:iCs/>
          <w:sz w:val="24"/>
          <w:szCs w:val="24"/>
        </w:rPr>
        <w:t xml:space="preserve">Harvey </w:t>
      </w:r>
      <w:r w:rsidRPr="00420E42">
        <w:rPr>
          <w:sz w:val="24"/>
          <w:szCs w:val="24"/>
        </w:rPr>
        <w:t>at 224). In that instance, the Court instructed that “the trial court itself must decide in the exercise of a sound discretion based on the nature of the proffered proof and the context in which it is offered, whether the value of the evidence outweighs its potential for prejudice</w:t>
      </w:r>
      <w:r w:rsidR="000303FF" w:rsidRPr="00420E42">
        <w:rPr>
          <w:sz w:val="24"/>
          <w:szCs w:val="24"/>
        </w:rPr>
        <w:t>”</w:t>
      </w:r>
      <w:r w:rsidRPr="00420E42">
        <w:rPr>
          <w:sz w:val="24"/>
          <w:szCs w:val="24"/>
        </w:rPr>
        <w:t xml:space="preserve"> (</w:t>
      </w:r>
      <w:r w:rsidRPr="00420E42">
        <w:rPr>
          <w:i/>
          <w:iCs/>
          <w:sz w:val="24"/>
          <w:szCs w:val="24"/>
        </w:rPr>
        <w:t>id</w:t>
      </w:r>
      <w:r w:rsidRPr="00420E42">
        <w:rPr>
          <w:sz w:val="24"/>
          <w:szCs w:val="24"/>
        </w:rPr>
        <w:t>.).</w:t>
      </w:r>
      <w:r w:rsidR="00667315" w:rsidRPr="00420E42">
        <w:rPr>
          <w:sz w:val="24"/>
          <w:szCs w:val="24"/>
        </w:rPr>
        <w:t xml:space="preserve"> </w:t>
      </w:r>
      <w:r w:rsidRPr="00420E42">
        <w:rPr>
          <w:sz w:val="24"/>
          <w:szCs w:val="24"/>
        </w:rPr>
        <w:t xml:space="preserve">The trial court in </w:t>
      </w:r>
      <w:r w:rsidRPr="00420E42">
        <w:rPr>
          <w:i/>
          <w:iCs/>
          <w:sz w:val="24"/>
          <w:szCs w:val="24"/>
        </w:rPr>
        <w:t xml:space="preserve">Harvey </w:t>
      </w:r>
      <w:r w:rsidRPr="00420E42">
        <w:rPr>
          <w:sz w:val="24"/>
          <w:szCs w:val="24"/>
        </w:rPr>
        <w:t xml:space="preserve">permitted the plaintiff, who was not sworn, to appear before the jury and answer a series of questions that </w:t>
      </w:r>
      <w:r w:rsidR="005C08D2" w:rsidRPr="00420E42">
        <w:rPr>
          <w:sz w:val="24"/>
          <w:szCs w:val="24"/>
        </w:rPr>
        <w:t>demonstrate</w:t>
      </w:r>
      <w:r w:rsidR="00A148EC" w:rsidRPr="00420E42">
        <w:rPr>
          <w:sz w:val="24"/>
          <w:szCs w:val="24"/>
        </w:rPr>
        <w:t>d</w:t>
      </w:r>
      <w:r w:rsidRPr="00420E42">
        <w:rPr>
          <w:sz w:val="24"/>
          <w:szCs w:val="24"/>
        </w:rPr>
        <w:t xml:space="preserve"> the plaintiff</w:t>
      </w:r>
      <w:r w:rsidR="00074893" w:rsidRPr="00420E42">
        <w:rPr>
          <w:sz w:val="24"/>
          <w:szCs w:val="24"/>
        </w:rPr>
        <w:t>’</w:t>
      </w:r>
      <w:r w:rsidRPr="00420E42">
        <w:rPr>
          <w:sz w:val="24"/>
          <w:szCs w:val="24"/>
        </w:rPr>
        <w:t>s loss of cognitive abilities. In deciding to permit the questioning, the trial judge noted that she had balanced the value of showing the jury the plaintiff</w:t>
      </w:r>
      <w:r w:rsidR="00EC11FA" w:rsidRPr="00420E42">
        <w:rPr>
          <w:sz w:val="24"/>
          <w:szCs w:val="24"/>
        </w:rPr>
        <w:t>’</w:t>
      </w:r>
      <w:r w:rsidRPr="00420E42">
        <w:rPr>
          <w:sz w:val="24"/>
          <w:szCs w:val="24"/>
        </w:rPr>
        <w:t xml:space="preserve">s injuries against the potential for prejudice and emotional response. The Court of Appeals held that this balancing was without question an exercise of judicial discretion, and there was no basis to disturb that decision. “Although . . . the preferred practice would have been for the Trial Judge to examine the plaintiff in camera, outside the presence of the jury, before </w:t>
      </w:r>
      <w:r w:rsidRPr="00420E42">
        <w:rPr>
          <w:sz w:val="24"/>
          <w:szCs w:val="24"/>
        </w:rPr>
        <w:lastRenderedPageBreak/>
        <w:t xml:space="preserve">permitting the questioning,” the failure to do so did not constitute an abuse of discretion in </w:t>
      </w:r>
      <w:r w:rsidRPr="00420E42">
        <w:rPr>
          <w:i/>
          <w:iCs/>
          <w:sz w:val="24"/>
          <w:szCs w:val="24"/>
        </w:rPr>
        <w:t>Harvey</w:t>
      </w:r>
      <w:r w:rsidRPr="00420E42">
        <w:rPr>
          <w:sz w:val="24"/>
          <w:szCs w:val="24"/>
        </w:rPr>
        <w:t xml:space="preserve"> (</w:t>
      </w:r>
      <w:r w:rsidRPr="00420E42">
        <w:rPr>
          <w:i/>
          <w:iCs/>
          <w:sz w:val="24"/>
          <w:szCs w:val="24"/>
        </w:rPr>
        <w:t>id.</w:t>
      </w:r>
      <w:r w:rsidRPr="00420E42">
        <w:rPr>
          <w:sz w:val="24"/>
          <w:szCs w:val="24"/>
        </w:rPr>
        <w:t xml:space="preserve"> at 22</w:t>
      </w:r>
      <w:r w:rsidR="00A46C3F" w:rsidRPr="00420E42">
        <w:rPr>
          <w:sz w:val="24"/>
          <w:szCs w:val="24"/>
        </w:rPr>
        <w:t>4</w:t>
      </w:r>
      <w:r w:rsidRPr="00420E42">
        <w:rPr>
          <w:sz w:val="24"/>
          <w:szCs w:val="24"/>
        </w:rPr>
        <w:t>).</w:t>
      </w:r>
    </w:p>
    <w:p w14:paraId="74A0341C" w14:textId="77777777" w:rsidR="00686A7C" w:rsidRPr="00420E42" w:rsidRDefault="00686A7C" w:rsidP="00C2388C">
      <w:pPr>
        <w:widowControl/>
        <w:tabs>
          <w:tab w:val="left" w:pos="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04352648" w14:textId="61018C0E" w:rsidR="006F5179" w:rsidRPr="00420E42" w:rsidRDefault="00BC2419"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420E42">
        <w:rPr>
          <w:sz w:val="24"/>
          <w:szCs w:val="24"/>
        </w:rPr>
        <w:tab/>
        <w:t xml:space="preserve">Critically, as stated in the rule, before a person’s appearance, condition, or capability may be exhibited, that appearance, condition, or capability must be </w:t>
      </w:r>
      <w:r w:rsidR="00B712DB" w:rsidRPr="00420E42">
        <w:rPr>
          <w:sz w:val="24"/>
          <w:szCs w:val="24"/>
        </w:rPr>
        <w:t xml:space="preserve">shown to be </w:t>
      </w:r>
      <w:r w:rsidRPr="00420E42">
        <w:rPr>
          <w:sz w:val="24"/>
          <w:szCs w:val="24"/>
        </w:rPr>
        <w:t>“relevant” to an issue in the proceeding (</w:t>
      </w:r>
      <w:r w:rsidRPr="00420E42">
        <w:rPr>
          <w:i/>
          <w:iCs/>
          <w:sz w:val="24"/>
          <w:szCs w:val="24"/>
        </w:rPr>
        <w:t>see</w:t>
      </w:r>
      <w:r w:rsidRPr="00420E42">
        <w:rPr>
          <w:sz w:val="24"/>
          <w:szCs w:val="24"/>
        </w:rPr>
        <w:t xml:space="preserve"> Guide to NY Evid rule 4.01</w:t>
      </w:r>
      <w:r w:rsidR="00315178" w:rsidRPr="00420E42">
        <w:rPr>
          <w:sz w:val="24"/>
          <w:szCs w:val="24"/>
        </w:rPr>
        <w:t>)</w:t>
      </w:r>
      <w:bookmarkStart w:id="2" w:name="_Hlk125384727"/>
      <w:r w:rsidR="003055F6" w:rsidRPr="00420E42">
        <w:rPr>
          <w:sz w:val="24"/>
          <w:szCs w:val="24"/>
        </w:rPr>
        <w:t xml:space="preserve"> and </w:t>
      </w:r>
      <w:r w:rsidR="00A85EA5" w:rsidRPr="00420E42">
        <w:rPr>
          <w:sz w:val="24"/>
          <w:szCs w:val="24"/>
        </w:rPr>
        <w:t>probative</w:t>
      </w:r>
      <w:r w:rsidR="00CD6EC2" w:rsidRPr="00420E42">
        <w:rPr>
          <w:sz w:val="24"/>
          <w:szCs w:val="24"/>
        </w:rPr>
        <w:t xml:space="preserve"> of the issue</w:t>
      </w:r>
      <w:r w:rsidR="00A85EA5" w:rsidRPr="00420E42">
        <w:rPr>
          <w:sz w:val="24"/>
          <w:szCs w:val="24"/>
        </w:rPr>
        <w:t xml:space="preserve"> </w:t>
      </w:r>
      <w:r w:rsidR="00497F43" w:rsidRPr="00420E42">
        <w:rPr>
          <w:sz w:val="24"/>
          <w:szCs w:val="24"/>
        </w:rPr>
        <w:t>(</w:t>
      </w:r>
      <w:r w:rsidR="00B858F1" w:rsidRPr="00420E42">
        <w:rPr>
          <w:i/>
          <w:iCs/>
          <w:sz w:val="24"/>
          <w:szCs w:val="24"/>
        </w:rPr>
        <w:t>People v Rodriguez</w:t>
      </w:r>
      <w:r w:rsidR="00B858F1" w:rsidRPr="00420E42">
        <w:rPr>
          <w:sz w:val="24"/>
          <w:szCs w:val="24"/>
        </w:rPr>
        <w:t>, 64 NY2d 738, 741 [1984</w:t>
      </w:r>
      <w:bookmarkEnd w:id="2"/>
      <w:r w:rsidR="00982D04" w:rsidRPr="00420E42">
        <w:rPr>
          <w:sz w:val="24"/>
          <w:szCs w:val="24"/>
        </w:rPr>
        <w:t>]</w:t>
      </w:r>
      <w:r w:rsidR="00497F43" w:rsidRPr="00420E42">
        <w:rPr>
          <w:sz w:val="24"/>
          <w:szCs w:val="24"/>
        </w:rPr>
        <w:t>)</w:t>
      </w:r>
      <w:r w:rsidR="00982D04" w:rsidRPr="00420E42">
        <w:rPr>
          <w:sz w:val="24"/>
          <w:szCs w:val="24"/>
        </w:rPr>
        <w:t>.</w:t>
      </w:r>
    </w:p>
    <w:p w14:paraId="555D4801" w14:textId="77777777" w:rsidR="006F5179" w:rsidRPr="00420E42" w:rsidRDefault="006F5179"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43E66609" w14:textId="62829F8B" w:rsidR="00F07498" w:rsidRPr="00420E42" w:rsidRDefault="006F5179"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420E42">
        <w:rPr>
          <w:sz w:val="24"/>
          <w:szCs w:val="24"/>
        </w:rPr>
        <w:tab/>
      </w:r>
      <w:r w:rsidR="00315122" w:rsidRPr="00420E42">
        <w:rPr>
          <w:sz w:val="24"/>
          <w:szCs w:val="24"/>
        </w:rPr>
        <w:t xml:space="preserve">In </w:t>
      </w:r>
      <w:r w:rsidR="00315122" w:rsidRPr="00420E42">
        <w:rPr>
          <w:i/>
          <w:iCs/>
          <w:sz w:val="24"/>
          <w:szCs w:val="24"/>
        </w:rPr>
        <w:t>Rodriguez</w:t>
      </w:r>
      <w:r w:rsidR="00315122" w:rsidRPr="00420E42">
        <w:rPr>
          <w:sz w:val="24"/>
          <w:szCs w:val="24"/>
        </w:rPr>
        <w:t xml:space="preserve">, for example, the </w:t>
      </w:r>
      <w:r w:rsidR="009170F7" w:rsidRPr="00420E42">
        <w:rPr>
          <w:sz w:val="24"/>
          <w:szCs w:val="24"/>
        </w:rPr>
        <w:t xml:space="preserve">eyewitness apparently did not describe the perpetrator as having tattooed hands </w:t>
      </w:r>
      <w:r w:rsidR="00346113" w:rsidRPr="00420E42">
        <w:rPr>
          <w:sz w:val="24"/>
          <w:szCs w:val="24"/>
        </w:rPr>
        <w:t xml:space="preserve">and </w:t>
      </w:r>
      <w:r w:rsidR="001836DA" w:rsidRPr="00420E42">
        <w:rPr>
          <w:sz w:val="24"/>
          <w:szCs w:val="24"/>
        </w:rPr>
        <w:t xml:space="preserve">the defendant requested </w:t>
      </w:r>
      <w:r w:rsidR="009170F7" w:rsidRPr="00420E42">
        <w:rPr>
          <w:sz w:val="24"/>
          <w:szCs w:val="24"/>
        </w:rPr>
        <w:t xml:space="preserve">to display </w:t>
      </w:r>
      <w:r w:rsidR="000A7D05" w:rsidRPr="00420E42">
        <w:rPr>
          <w:sz w:val="24"/>
          <w:szCs w:val="24"/>
        </w:rPr>
        <w:t xml:space="preserve">his </w:t>
      </w:r>
      <w:r w:rsidR="009170F7" w:rsidRPr="00420E42">
        <w:rPr>
          <w:sz w:val="24"/>
          <w:szCs w:val="24"/>
        </w:rPr>
        <w:t xml:space="preserve">tattooed hands </w:t>
      </w:r>
      <w:r w:rsidR="001836DA" w:rsidRPr="00420E42">
        <w:rPr>
          <w:sz w:val="24"/>
          <w:szCs w:val="24"/>
        </w:rPr>
        <w:t xml:space="preserve">to the jury or to have his counsel testify to the appearance of his hands four days after the theft. </w:t>
      </w:r>
      <w:r w:rsidR="0034411D" w:rsidRPr="00420E42">
        <w:rPr>
          <w:sz w:val="24"/>
          <w:szCs w:val="24"/>
        </w:rPr>
        <w:t xml:space="preserve">The </w:t>
      </w:r>
      <w:r w:rsidR="00120D36" w:rsidRPr="00420E42">
        <w:rPr>
          <w:sz w:val="24"/>
          <w:szCs w:val="24"/>
        </w:rPr>
        <w:t xml:space="preserve">court </w:t>
      </w:r>
      <w:r w:rsidR="009170F7" w:rsidRPr="00420E42">
        <w:rPr>
          <w:sz w:val="24"/>
          <w:szCs w:val="24"/>
        </w:rPr>
        <w:t xml:space="preserve">properly denied </w:t>
      </w:r>
      <w:r w:rsidR="00120D36" w:rsidRPr="00420E42">
        <w:rPr>
          <w:sz w:val="24"/>
          <w:szCs w:val="24"/>
        </w:rPr>
        <w:t xml:space="preserve">the request </w:t>
      </w:r>
      <w:r w:rsidR="0091768B" w:rsidRPr="00420E42">
        <w:rPr>
          <w:sz w:val="24"/>
          <w:szCs w:val="24"/>
        </w:rPr>
        <w:t>“</w:t>
      </w:r>
      <w:r w:rsidR="008840D7" w:rsidRPr="00420E42">
        <w:rPr>
          <w:sz w:val="24"/>
          <w:szCs w:val="24"/>
        </w:rPr>
        <w:t>inasmuch as defendant offered no proof regarding the presence of the tattoos on the date in issue</w:t>
      </w:r>
      <w:r w:rsidR="008D6314" w:rsidRPr="00420E42">
        <w:rPr>
          <w:sz w:val="24"/>
          <w:szCs w:val="24"/>
        </w:rPr>
        <w:t>”</w:t>
      </w:r>
      <w:r w:rsidR="00667315" w:rsidRPr="00420E42">
        <w:rPr>
          <w:sz w:val="24"/>
          <w:szCs w:val="24"/>
        </w:rPr>
        <w:t xml:space="preserve"> (</w:t>
      </w:r>
      <w:r w:rsidR="00667315" w:rsidRPr="00420E42">
        <w:rPr>
          <w:i/>
          <w:iCs/>
          <w:sz w:val="24"/>
          <w:szCs w:val="24"/>
        </w:rPr>
        <w:t>id</w:t>
      </w:r>
      <w:r w:rsidR="00667315" w:rsidRPr="00420E42">
        <w:rPr>
          <w:sz w:val="24"/>
          <w:szCs w:val="24"/>
        </w:rPr>
        <w:t>. at 741).</w:t>
      </w:r>
      <w:r w:rsidR="008D6314" w:rsidRPr="00420E42">
        <w:rPr>
          <w:sz w:val="24"/>
          <w:szCs w:val="24"/>
        </w:rPr>
        <w:t xml:space="preserve"> </w:t>
      </w:r>
      <w:r w:rsidR="008D6314" w:rsidRPr="00420E42">
        <w:rPr>
          <w:i/>
          <w:iCs/>
          <w:sz w:val="24"/>
          <w:szCs w:val="24"/>
        </w:rPr>
        <w:t>Rodriguez</w:t>
      </w:r>
      <w:r w:rsidR="008D6314" w:rsidRPr="00420E42">
        <w:rPr>
          <w:sz w:val="24"/>
          <w:szCs w:val="24"/>
        </w:rPr>
        <w:t xml:space="preserve"> also </w:t>
      </w:r>
      <w:r w:rsidR="00556981" w:rsidRPr="00420E42">
        <w:rPr>
          <w:sz w:val="24"/>
          <w:szCs w:val="24"/>
        </w:rPr>
        <w:t>held</w:t>
      </w:r>
      <w:r w:rsidR="008D6314" w:rsidRPr="00420E42">
        <w:rPr>
          <w:sz w:val="24"/>
          <w:szCs w:val="24"/>
        </w:rPr>
        <w:t xml:space="preserve"> that </w:t>
      </w:r>
      <w:r w:rsidR="0034411D" w:rsidRPr="00420E42">
        <w:rPr>
          <w:sz w:val="24"/>
          <w:szCs w:val="24"/>
        </w:rPr>
        <w:t>the</w:t>
      </w:r>
      <w:r w:rsidR="008840D7" w:rsidRPr="00420E42">
        <w:rPr>
          <w:sz w:val="24"/>
          <w:szCs w:val="24"/>
        </w:rPr>
        <w:t xml:space="preserve"> court</w:t>
      </w:r>
      <w:r w:rsidR="0034411D" w:rsidRPr="00420E42">
        <w:rPr>
          <w:sz w:val="24"/>
          <w:szCs w:val="24"/>
        </w:rPr>
        <w:t xml:space="preserve"> properly</w:t>
      </w:r>
      <w:r w:rsidR="008840D7" w:rsidRPr="00420E42">
        <w:rPr>
          <w:sz w:val="24"/>
          <w:szCs w:val="24"/>
        </w:rPr>
        <w:t xml:space="preserve"> refus</w:t>
      </w:r>
      <w:r w:rsidR="0034411D" w:rsidRPr="00420E42">
        <w:rPr>
          <w:sz w:val="24"/>
          <w:szCs w:val="24"/>
        </w:rPr>
        <w:t xml:space="preserve">ed </w:t>
      </w:r>
      <w:r w:rsidR="00A53C62" w:rsidRPr="00420E42">
        <w:rPr>
          <w:sz w:val="24"/>
          <w:szCs w:val="24"/>
        </w:rPr>
        <w:t>“</w:t>
      </w:r>
      <w:r w:rsidR="008840D7" w:rsidRPr="00420E42">
        <w:rPr>
          <w:sz w:val="24"/>
          <w:szCs w:val="24"/>
        </w:rPr>
        <w:t>to allow defendant to testify on this point, which testimony clearly would implicate his credibility, without being subject to cross-examination concerning his past convictions</w:t>
      </w:r>
      <w:r w:rsidR="00A53C62" w:rsidRPr="00420E42">
        <w:rPr>
          <w:sz w:val="24"/>
          <w:szCs w:val="24"/>
        </w:rPr>
        <w:t>”</w:t>
      </w:r>
      <w:r w:rsidR="00222909" w:rsidRPr="00420E42">
        <w:rPr>
          <w:sz w:val="24"/>
          <w:szCs w:val="24"/>
        </w:rPr>
        <w:t xml:space="preserve"> </w:t>
      </w:r>
      <w:r w:rsidR="00126601" w:rsidRPr="00420E42">
        <w:rPr>
          <w:sz w:val="24"/>
          <w:szCs w:val="24"/>
        </w:rPr>
        <w:t>(</w:t>
      </w:r>
      <w:r w:rsidR="00667315" w:rsidRPr="00420E42">
        <w:rPr>
          <w:i/>
          <w:iCs/>
          <w:sz w:val="24"/>
          <w:szCs w:val="24"/>
        </w:rPr>
        <w:t>id</w:t>
      </w:r>
      <w:r w:rsidR="00667315" w:rsidRPr="00420E42">
        <w:rPr>
          <w:sz w:val="24"/>
          <w:szCs w:val="24"/>
        </w:rPr>
        <w:t>.;</w:t>
      </w:r>
      <w:r w:rsidR="007D7869" w:rsidRPr="00420E42">
        <w:rPr>
          <w:sz w:val="24"/>
          <w:szCs w:val="24"/>
        </w:rPr>
        <w:t xml:space="preserve"> </w:t>
      </w:r>
      <w:r w:rsidR="00667315" w:rsidRPr="00420E42">
        <w:rPr>
          <w:i/>
          <w:iCs/>
          <w:sz w:val="24"/>
          <w:szCs w:val="24"/>
        </w:rPr>
        <w:t>s</w:t>
      </w:r>
      <w:r w:rsidR="00A53C62" w:rsidRPr="00420E42">
        <w:rPr>
          <w:i/>
          <w:iCs/>
          <w:sz w:val="24"/>
          <w:szCs w:val="24"/>
        </w:rPr>
        <w:t>ee</w:t>
      </w:r>
      <w:r w:rsidR="00A53C62" w:rsidRPr="00420E42">
        <w:rPr>
          <w:sz w:val="24"/>
          <w:szCs w:val="24"/>
        </w:rPr>
        <w:t xml:space="preserve"> </w:t>
      </w:r>
      <w:r w:rsidR="00556981" w:rsidRPr="00420E42">
        <w:rPr>
          <w:i/>
          <w:iCs/>
          <w:sz w:val="24"/>
          <w:szCs w:val="24"/>
        </w:rPr>
        <w:t>People v Robinson</w:t>
      </w:r>
      <w:r w:rsidR="00556981" w:rsidRPr="00420E42">
        <w:rPr>
          <w:sz w:val="24"/>
          <w:szCs w:val="24"/>
        </w:rPr>
        <w:t>, 100 AD3d 934, 935 [2d Dept 2012] [</w:t>
      </w:r>
      <w:r w:rsidR="00897F49" w:rsidRPr="00420E42">
        <w:rPr>
          <w:sz w:val="24"/>
          <w:szCs w:val="24"/>
        </w:rPr>
        <w:t>similarly</w:t>
      </w:r>
      <w:r w:rsidR="00A53C62" w:rsidRPr="00420E42">
        <w:rPr>
          <w:sz w:val="24"/>
          <w:szCs w:val="24"/>
        </w:rPr>
        <w:t xml:space="preserve"> holding that</w:t>
      </w:r>
      <w:r w:rsidR="00897F49" w:rsidRPr="00420E42">
        <w:rPr>
          <w:sz w:val="24"/>
          <w:szCs w:val="24"/>
        </w:rPr>
        <w:t xml:space="preserve"> the defendant “</w:t>
      </w:r>
      <w:r w:rsidR="00556981" w:rsidRPr="00420E42">
        <w:rPr>
          <w:sz w:val="24"/>
          <w:szCs w:val="24"/>
        </w:rPr>
        <w:t>failed to lay a proper</w:t>
      </w:r>
      <w:r w:rsidR="00556981" w:rsidRPr="00420E42">
        <w:rPr>
          <w:b/>
          <w:bCs/>
          <w:sz w:val="24"/>
          <w:szCs w:val="24"/>
        </w:rPr>
        <w:t xml:space="preserve"> </w:t>
      </w:r>
      <w:r w:rsidR="00556981" w:rsidRPr="00420E42">
        <w:rPr>
          <w:sz w:val="24"/>
          <w:szCs w:val="24"/>
        </w:rPr>
        <w:t>foundation</w:t>
      </w:r>
      <w:r w:rsidR="009849B5" w:rsidRPr="00420E42">
        <w:rPr>
          <w:sz w:val="24"/>
          <w:szCs w:val="24"/>
        </w:rPr>
        <w:t xml:space="preserve">” to show </w:t>
      </w:r>
      <w:r w:rsidR="006B0106" w:rsidRPr="00420E42">
        <w:rPr>
          <w:sz w:val="24"/>
          <w:szCs w:val="24"/>
        </w:rPr>
        <w:t>scars</w:t>
      </w:r>
      <w:r w:rsidR="00E429F7" w:rsidRPr="00420E42">
        <w:rPr>
          <w:sz w:val="24"/>
          <w:szCs w:val="24"/>
        </w:rPr>
        <w:t xml:space="preserve"> on his torso and abdomen</w:t>
      </w:r>
      <w:r w:rsidR="006B0106" w:rsidRPr="00420E42">
        <w:rPr>
          <w:sz w:val="24"/>
          <w:szCs w:val="24"/>
        </w:rPr>
        <w:t>, “</w:t>
      </w:r>
      <w:r w:rsidR="00556981" w:rsidRPr="00420E42">
        <w:rPr>
          <w:sz w:val="24"/>
          <w:szCs w:val="24"/>
        </w:rPr>
        <w:t>offering no proof that the scars on his torso and abdomen existed on the date of the alleged rape</w:t>
      </w:r>
      <w:r w:rsidR="00084305" w:rsidRPr="00420E42">
        <w:rPr>
          <w:sz w:val="24"/>
          <w:szCs w:val="24"/>
        </w:rPr>
        <w:t>”</w:t>
      </w:r>
      <w:r w:rsidR="006B0106" w:rsidRPr="00420E42">
        <w:rPr>
          <w:sz w:val="24"/>
          <w:szCs w:val="24"/>
        </w:rPr>
        <w:t xml:space="preserve">; and </w:t>
      </w:r>
      <w:r w:rsidR="00C706B1" w:rsidRPr="00420E42">
        <w:rPr>
          <w:sz w:val="24"/>
          <w:szCs w:val="24"/>
        </w:rPr>
        <w:t xml:space="preserve">that the court’s </w:t>
      </w:r>
      <w:r w:rsidR="003716D3" w:rsidRPr="00420E42">
        <w:rPr>
          <w:sz w:val="24"/>
          <w:szCs w:val="24"/>
        </w:rPr>
        <w:t xml:space="preserve">denial of </w:t>
      </w:r>
      <w:r w:rsidR="00C706B1" w:rsidRPr="00420E42">
        <w:rPr>
          <w:sz w:val="24"/>
          <w:szCs w:val="24"/>
        </w:rPr>
        <w:t xml:space="preserve">his </w:t>
      </w:r>
      <w:r w:rsidR="003716D3" w:rsidRPr="00420E42">
        <w:rPr>
          <w:sz w:val="24"/>
          <w:szCs w:val="24"/>
        </w:rPr>
        <w:t xml:space="preserve">application </w:t>
      </w:r>
      <w:r w:rsidR="00C706B1" w:rsidRPr="00420E42">
        <w:rPr>
          <w:sz w:val="24"/>
          <w:szCs w:val="24"/>
        </w:rPr>
        <w:t>to testify about his scars</w:t>
      </w:r>
      <w:r w:rsidR="00BE0126" w:rsidRPr="00420E42">
        <w:rPr>
          <w:sz w:val="24"/>
          <w:szCs w:val="24"/>
        </w:rPr>
        <w:t xml:space="preserve"> was also properly denied “</w:t>
      </w:r>
      <w:r w:rsidR="00556981" w:rsidRPr="00420E42">
        <w:rPr>
          <w:sz w:val="24"/>
          <w:szCs w:val="24"/>
        </w:rPr>
        <w:t>where he conditioned his application upon the ability to testify without being subject to cross-examination</w:t>
      </w:r>
      <w:r w:rsidR="00CC1FCC" w:rsidRPr="00420E42">
        <w:rPr>
          <w:sz w:val="24"/>
          <w:szCs w:val="24"/>
        </w:rPr>
        <w:t>”]</w:t>
      </w:r>
      <w:r w:rsidR="00126601" w:rsidRPr="00420E42">
        <w:rPr>
          <w:sz w:val="24"/>
          <w:szCs w:val="24"/>
        </w:rPr>
        <w:t>)</w:t>
      </w:r>
      <w:r w:rsidR="00CC1FCC" w:rsidRPr="00420E42">
        <w:rPr>
          <w:sz w:val="24"/>
          <w:szCs w:val="24"/>
        </w:rPr>
        <w:t>.</w:t>
      </w:r>
    </w:p>
    <w:p w14:paraId="7580A28B" w14:textId="77777777" w:rsidR="00AC79D4" w:rsidRPr="00420E42" w:rsidRDefault="00AC79D4"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4129DB7F" w14:textId="604F88FA" w:rsidR="00857EDA" w:rsidRPr="00420E42" w:rsidRDefault="00DC2D19"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420E42">
        <w:rPr>
          <w:sz w:val="24"/>
          <w:szCs w:val="24"/>
        </w:rPr>
        <w:tab/>
      </w:r>
      <w:r w:rsidR="002C62D8" w:rsidRPr="00420E42">
        <w:rPr>
          <w:sz w:val="24"/>
          <w:szCs w:val="24"/>
        </w:rPr>
        <w:t xml:space="preserve">A defendant, however, is not required to lay </w:t>
      </w:r>
      <w:r w:rsidR="001037FE" w:rsidRPr="00420E42">
        <w:rPr>
          <w:sz w:val="24"/>
          <w:szCs w:val="24"/>
        </w:rPr>
        <w:t>a</w:t>
      </w:r>
      <w:r w:rsidR="002C62D8" w:rsidRPr="00420E42">
        <w:rPr>
          <w:sz w:val="24"/>
          <w:szCs w:val="24"/>
        </w:rPr>
        <w:t xml:space="preserve"> foundation </w:t>
      </w:r>
      <w:r w:rsidR="00451EE0" w:rsidRPr="00420E42">
        <w:rPr>
          <w:sz w:val="24"/>
          <w:szCs w:val="24"/>
        </w:rPr>
        <w:t xml:space="preserve">to </w:t>
      </w:r>
      <w:r w:rsidR="00404483" w:rsidRPr="00420E42">
        <w:rPr>
          <w:sz w:val="24"/>
          <w:szCs w:val="24"/>
        </w:rPr>
        <w:t xml:space="preserve">exhibit </w:t>
      </w:r>
      <w:r w:rsidR="00B32F4B" w:rsidRPr="00420E42">
        <w:rPr>
          <w:sz w:val="24"/>
          <w:szCs w:val="24"/>
        </w:rPr>
        <w:t>his or appearance o</w:t>
      </w:r>
      <w:r w:rsidR="00C91D4B" w:rsidRPr="00420E42">
        <w:rPr>
          <w:sz w:val="24"/>
          <w:szCs w:val="24"/>
        </w:rPr>
        <w:t xml:space="preserve">r condition </w:t>
      </w:r>
      <w:r w:rsidR="002C62D8" w:rsidRPr="00420E42">
        <w:rPr>
          <w:sz w:val="24"/>
          <w:szCs w:val="24"/>
        </w:rPr>
        <w:t xml:space="preserve">by personally testifying; the defendant may present </w:t>
      </w:r>
      <w:r w:rsidR="00304718" w:rsidRPr="00420E42">
        <w:rPr>
          <w:sz w:val="24"/>
          <w:szCs w:val="24"/>
        </w:rPr>
        <w:t xml:space="preserve">a witness </w:t>
      </w:r>
      <w:r w:rsidR="00C6285C" w:rsidRPr="00420E42">
        <w:rPr>
          <w:sz w:val="24"/>
          <w:szCs w:val="24"/>
        </w:rPr>
        <w:t>or exhibits that properly lay the foundation</w:t>
      </w:r>
      <w:r w:rsidR="00084305" w:rsidRPr="00420E42">
        <w:rPr>
          <w:sz w:val="24"/>
          <w:szCs w:val="24"/>
        </w:rPr>
        <w:t xml:space="preserve"> </w:t>
      </w:r>
      <w:r w:rsidR="00126601" w:rsidRPr="00420E42">
        <w:rPr>
          <w:sz w:val="24"/>
          <w:szCs w:val="24"/>
        </w:rPr>
        <w:t>(</w:t>
      </w:r>
      <w:r w:rsidR="00493667" w:rsidRPr="00420E42">
        <w:rPr>
          <w:i/>
          <w:iCs/>
          <w:sz w:val="24"/>
          <w:szCs w:val="24"/>
        </w:rPr>
        <w:t>People v Shields</w:t>
      </w:r>
      <w:r w:rsidR="00493667" w:rsidRPr="00420E42">
        <w:rPr>
          <w:sz w:val="24"/>
          <w:szCs w:val="24"/>
        </w:rPr>
        <w:t>, 81 AD2d 870, 871 [2d Dept 1981]</w:t>
      </w:r>
      <w:r w:rsidR="009951E2" w:rsidRPr="00420E42">
        <w:rPr>
          <w:sz w:val="24"/>
          <w:szCs w:val="24"/>
        </w:rPr>
        <w:t xml:space="preserve"> [</w:t>
      </w:r>
      <w:r w:rsidR="00E86A0C" w:rsidRPr="00420E42">
        <w:rPr>
          <w:sz w:val="24"/>
          <w:szCs w:val="24"/>
        </w:rPr>
        <w:t xml:space="preserve">where the rape victim did not </w:t>
      </w:r>
      <w:r w:rsidR="003307ED" w:rsidRPr="00420E42">
        <w:rPr>
          <w:sz w:val="24"/>
          <w:szCs w:val="24"/>
        </w:rPr>
        <w:t>mention a 14</w:t>
      </w:r>
      <w:r w:rsidR="00084305" w:rsidRPr="00420E42">
        <w:rPr>
          <w:sz w:val="24"/>
          <w:szCs w:val="24"/>
        </w:rPr>
        <w:t xml:space="preserve">- </w:t>
      </w:r>
      <w:r w:rsidR="003307ED" w:rsidRPr="00420E42">
        <w:rPr>
          <w:sz w:val="24"/>
          <w:szCs w:val="24"/>
        </w:rPr>
        <w:t>to</w:t>
      </w:r>
      <w:r w:rsidR="00084305" w:rsidRPr="00420E42">
        <w:rPr>
          <w:sz w:val="24"/>
          <w:szCs w:val="24"/>
        </w:rPr>
        <w:t xml:space="preserve"> </w:t>
      </w:r>
      <w:r w:rsidR="003307ED" w:rsidRPr="00420E42">
        <w:rPr>
          <w:sz w:val="24"/>
          <w:szCs w:val="24"/>
        </w:rPr>
        <w:t>16</w:t>
      </w:r>
      <w:r w:rsidR="00084305" w:rsidRPr="00420E42">
        <w:rPr>
          <w:sz w:val="24"/>
          <w:szCs w:val="24"/>
        </w:rPr>
        <w:t>-</w:t>
      </w:r>
      <w:r w:rsidR="003307ED" w:rsidRPr="00420E42">
        <w:rPr>
          <w:sz w:val="24"/>
          <w:szCs w:val="24"/>
        </w:rPr>
        <w:t xml:space="preserve">inch scar on the defendant’s </w:t>
      </w:r>
      <w:r w:rsidR="009840C5" w:rsidRPr="00420E42">
        <w:rPr>
          <w:sz w:val="24"/>
          <w:szCs w:val="24"/>
        </w:rPr>
        <w:t xml:space="preserve">abdominal region, </w:t>
      </w:r>
      <w:r w:rsidR="009951E2" w:rsidRPr="00420E42">
        <w:rPr>
          <w:sz w:val="24"/>
          <w:szCs w:val="24"/>
        </w:rPr>
        <w:t>the court erred</w:t>
      </w:r>
      <w:r w:rsidR="00A762C7" w:rsidRPr="00420E42">
        <w:rPr>
          <w:sz w:val="24"/>
          <w:szCs w:val="24"/>
        </w:rPr>
        <w:t xml:space="preserve"> in not permitting the defendant’s sister </w:t>
      </w:r>
      <w:r w:rsidR="0026492C" w:rsidRPr="00420E42">
        <w:rPr>
          <w:sz w:val="24"/>
          <w:szCs w:val="24"/>
        </w:rPr>
        <w:t xml:space="preserve">to testify </w:t>
      </w:r>
      <w:r w:rsidR="00A762C7" w:rsidRPr="00420E42">
        <w:rPr>
          <w:sz w:val="24"/>
          <w:szCs w:val="24"/>
        </w:rPr>
        <w:t xml:space="preserve">along with hospital records </w:t>
      </w:r>
      <w:r w:rsidR="00452B90" w:rsidRPr="00420E42">
        <w:rPr>
          <w:sz w:val="24"/>
          <w:szCs w:val="24"/>
        </w:rPr>
        <w:t xml:space="preserve">to prove that the defendant had been </w:t>
      </w:r>
      <w:r w:rsidR="009818EC" w:rsidRPr="00420E42">
        <w:rPr>
          <w:sz w:val="24"/>
          <w:szCs w:val="24"/>
        </w:rPr>
        <w:t>scarred prior to the date in question]</w:t>
      </w:r>
      <w:r w:rsidR="00694E76" w:rsidRPr="00420E42">
        <w:rPr>
          <w:sz w:val="24"/>
          <w:szCs w:val="24"/>
        </w:rPr>
        <w:t>)</w:t>
      </w:r>
      <w:r w:rsidR="009818EC" w:rsidRPr="00420E42">
        <w:rPr>
          <w:sz w:val="24"/>
          <w:szCs w:val="24"/>
        </w:rPr>
        <w:t xml:space="preserve">. </w:t>
      </w:r>
      <w:r w:rsidR="00F07498" w:rsidRPr="00420E42">
        <w:rPr>
          <w:sz w:val="24"/>
          <w:szCs w:val="24"/>
        </w:rPr>
        <w:t xml:space="preserve">Once </w:t>
      </w:r>
      <w:r w:rsidR="008D4A0F" w:rsidRPr="00420E42">
        <w:rPr>
          <w:sz w:val="24"/>
          <w:szCs w:val="24"/>
        </w:rPr>
        <w:t>the</w:t>
      </w:r>
      <w:r w:rsidR="00F07498" w:rsidRPr="00420E42">
        <w:rPr>
          <w:sz w:val="24"/>
          <w:szCs w:val="24"/>
        </w:rPr>
        <w:t xml:space="preserve"> proper foundation</w:t>
      </w:r>
      <w:r w:rsidR="00275B46" w:rsidRPr="00420E42">
        <w:rPr>
          <w:sz w:val="24"/>
          <w:szCs w:val="24"/>
        </w:rPr>
        <w:t xml:space="preserve"> </w:t>
      </w:r>
      <w:r w:rsidR="00F07498" w:rsidRPr="00420E42">
        <w:rPr>
          <w:sz w:val="24"/>
          <w:szCs w:val="24"/>
        </w:rPr>
        <w:t>is laid</w:t>
      </w:r>
      <w:r w:rsidR="007827CE" w:rsidRPr="00420E42">
        <w:rPr>
          <w:sz w:val="24"/>
          <w:szCs w:val="24"/>
        </w:rPr>
        <w:t>, “</w:t>
      </w:r>
      <w:r w:rsidR="00F07498" w:rsidRPr="00420E42">
        <w:rPr>
          <w:sz w:val="24"/>
          <w:szCs w:val="24"/>
        </w:rPr>
        <w:t xml:space="preserve">it would be proper to permit the defendant to exhibit the </w:t>
      </w:r>
      <w:r w:rsidR="007827CE" w:rsidRPr="00420E42">
        <w:rPr>
          <w:sz w:val="24"/>
          <w:szCs w:val="24"/>
        </w:rPr>
        <w:t>[relevant condition</w:t>
      </w:r>
      <w:r w:rsidR="008D4A0F" w:rsidRPr="00420E42">
        <w:rPr>
          <w:sz w:val="24"/>
          <w:szCs w:val="24"/>
        </w:rPr>
        <w:t>, such as</w:t>
      </w:r>
      <w:r w:rsidR="00D301F5" w:rsidRPr="00420E42">
        <w:rPr>
          <w:sz w:val="24"/>
          <w:szCs w:val="24"/>
        </w:rPr>
        <w:t xml:space="preserve"> </w:t>
      </w:r>
      <w:r w:rsidR="008D4A0F" w:rsidRPr="00420E42">
        <w:rPr>
          <w:sz w:val="24"/>
          <w:szCs w:val="24"/>
        </w:rPr>
        <w:t>tat</w:t>
      </w:r>
      <w:r w:rsidR="00E003B1" w:rsidRPr="00420E42">
        <w:rPr>
          <w:sz w:val="24"/>
          <w:szCs w:val="24"/>
        </w:rPr>
        <w:t>t</w:t>
      </w:r>
      <w:r w:rsidR="008D4A0F" w:rsidRPr="00420E42">
        <w:rPr>
          <w:sz w:val="24"/>
          <w:szCs w:val="24"/>
        </w:rPr>
        <w:t>oo</w:t>
      </w:r>
      <w:r w:rsidR="003D399F" w:rsidRPr="00420E42">
        <w:rPr>
          <w:sz w:val="24"/>
          <w:szCs w:val="24"/>
        </w:rPr>
        <w:t>s</w:t>
      </w:r>
      <w:r w:rsidR="007827CE" w:rsidRPr="00420E42">
        <w:rPr>
          <w:sz w:val="24"/>
          <w:szCs w:val="24"/>
        </w:rPr>
        <w:t>]</w:t>
      </w:r>
      <w:r w:rsidR="00084305" w:rsidRPr="00420E42">
        <w:rPr>
          <w:sz w:val="24"/>
          <w:szCs w:val="24"/>
        </w:rPr>
        <w:t xml:space="preserve"> </w:t>
      </w:r>
      <w:r w:rsidR="00F07498" w:rsidRPr="00420E42">
        <w:rPr>
          <w:sz w:val="24"/>
          <w:szCs w:val="24"/>
        </w:rPr>
        <w:t>to</w:t>
      </w:r>
      <w:r w:rsidR="00084305" w:rsidRPr="00420E42">
        <w:rPr>
          <w:sz w:val="24"/>
          <w:szCs w:val="24"/>
        </w:rPr>
        <w:t xml:space="preserve"> </w:t>
      </w:r>
      <w:r w:rsidR="00F07498" w:rsidRPr="00420E42">
        <w:rPr>
          <w:sz w:val="24"/>
          <w:szCs w:val="24"/>
        </w:rPr>
        <w:t>the</w:t>
      </w:r>
      <w:r w:rsidR="00084305" w:rsidRPr="00420E42">
        <w:rPr>
          <w:sz w:val="24"/>
          <w:szCs w:val="24"/>
        </w:rPr>
        <w:t xml:space="preserve"> </w:t>
      </w:r>
      <w:r w:rsidR="00F07498" w:rsidRPr="00420E42">
        <w:rPr>
          <w:sz w:val="24"/>
          <w:szCs w:val="24"/>
        </w:rPr>
        <w:t>jury without being subject to substantive cross-examination</w:t>
      </w:r>
      <w:r w:rsidR="00E003B1" w:rsidRPr="00420E42">
        <w:rPr>
          <w:sz w:val="24"/>
          <w:szCs w:val="24"/>
        </w:rPr>
        <w:t>”</w:t>
      </w:r>
      <w:r w:rsidR="00084305" w:rsidRPr="00420E42">
        <w:rPr>
          <w:sz w:val="24"/>
          <w:szCs w:val="24"/>
        </w:rPr>
        <w:t xml:space="preserve"> </w:t>
      </w:r>
      <w:r w:rsidR="00CD5A90" w:rsidRPr="00420E42">
        <w:rPr>
          <w:sz w:val="24"/>
          <w:szCs w:val="24"/>
        </w:rPr>
        <w:t>(</w:t>
      </w:r>
      <w:r w:rsidR="00857EDA" w:rsidRPr="00420E42">
        <w:rPr>
          <w:i/>
          <w:iCs/>
          <w:sz w:val="24"/>
          <w:szCs w:val="24"/>
          <w:bdr w:val="none" w:sz="0" w:space="0" w:color="auto" w:frame="1"/>
        </w:rPr>
        <w:t>People v Scarola</w:t>
      </w:r>
      <w:r w:rsidR="00CD5A90" w:rsidRPr="00420E42">
        <w:rPr>
          <w:sz w:val="24"/>
          <w:szCs w:val="24"/>
        </w:rPr>
        <w:t>,</w:t>
      </w:r>
      <w:r w:rsidR="00857EDA" w:rsidRPr="00420E42">
        <w:rPr>
          <w:sz w:val="24"/>
          <w:szCs w:val="24"/>
        </w:rPr>
        <w:t xml:space="preserve"> 71 NY2d 769, 778 [1988]</w:t>
      </w:r>
      <w:r w:rsidR="00CD5A90" w:rsidRPr="00420E42">
        <w:rPr>
          <w:sz w:val="24"/>
          <w:szCs w:val="24"/>
        </w:rPr>
        <w:t>).</w:t>
      </w:r>
    </w:p>
    <w:p w14:paraId="5A2A67B5" w14:textId="77777777" w:rsidR="00C2388C" w:rsidRPr="00420E42" w:rsidRDefault="00C2388C"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4D025323" w14:textId="6EEBD3D2" w:rsidR="004D3570" w:rsidRPr="00420E42" w:rsidRDefault="004D3570"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420E42">
        <w:rPr>
          <w:sz w:val="24"/>
          <w:szCs w:val="24"/>
        </w:rPr>
        <w:tab/>
      </w:r>
      <w:r w:rsidR="003D3BD4" w:rsidRPr="00420E42">
        <w:rPr>
          <w:sz w:val="24"/>
          <w:szCs w:val="24"/>
        </w:rPr>
        <w:t xml:space="preserve">A </w:t>
      </w:r>
      <w:r w:rsidR="0075320E" w:rsidRPr="00420E42">
        <w:rPr>
          <w:sz w:val="24"/>
          <w:szCs w:val="24"/>
        </w:rPr>
        <w:t xml:space="preserve">defendant’s </w:t>
      </w:r>
      <w:r w:rsidR="003D3BD4" w:rsidRPr="00420E42">
        <w:rPr>
          <w:sz w:val="24"/>
          <w:szCs w:val="24"/>
        </w:rPr>
        <w:t xml:space="preserve">request to provide </w:t>
      </w:r>
      <w:r w:rsidR="0075320E" w:rsidRPr="00420E42">
        <w:rPr>
          <w:sz w:val="24"/>
          <w:szCs w:val="24"/>
        </w:rPr>
        <w:t>a</w:t>
      </w:r>
      <w:r w:rsidR="003D3BD4" w:rsidRPr="00420E42">
        <w:rPr>
          <w:sz w:val="24"/>
          <w:szCs w:val="24"/>
        </w:rPr>
        <w:t xml:space="preserve"> jury with a v</w:t>
      </w:r>
      <w:r w:rsidRPr="00420E42">
        <w:rPr>
          <w:sz w:val="24"/>
          <w:szCs w:val="24"/>
        </w:rPr>
        <w:t xml:space="preserve">oice exemplar </w:t>
      </w:r>
      <w:r w:rsidR="0075320E" w:rsidRPr="00420E42">
        <w:rPr>
          <w:sz w:val="24"/>
          <w:szCs w:val="24"/>
        </w:rPr>
        <w:t xml:space="preserve">may </w:t>
      </w:r>
      <w:r w:rsidRPr="00420E42">
        <w:rPr>
          <w:sz w:val="24"/>
          <w:szCs w:val="24"/>
        </w:rPr>
        <w:t xml:space="preserve">raise </w:t>
      </w:r>
      <w:r w:rsidR="003D3BD4" w:rsidRPr="00420E42">
        <w:rPr>
          <w:sz w:val="24"/>
          <w:szCs w:val="24"/>
        </w:rPr>
        <w:t>concerns</w:t>
      </w:r>
      <w:r w:rsidR="0075320E" w:rsidRPr="00420E42">
        <w:rPr>
          <w:sz w:val="24"/>
          <w:szCs w:val="24"/>
        </w:rPr>
        <w:t xml:space="preserve"> of </w:t>
      </w:r>
      <w:r w:rsidR="00012807" w:rsidRPr="00420E42">
        <w:rPr>
          <w:sz w:val="24"/>
          <w:szCs w:val="24"/>
        </w:rPr>
        <w:t>“trustworthiness”</w:t>
      </w:r>
      <w:r w:rsidR="00084305" w:rsidRPr="00420E42">
        <w:rPr>
          <w:sz w:val="24"/>
          <w:szCs w:val="24"/>
        </w:rPr>
        <w:t xml:space="preserve"> </w:t>
      </w:r>
      <w:r w:rsidR="00012807" w:rsidRPr="00420E42">
        <w:rPr>
          <w:sz w:val="24"/>
          <w:szCs w:val="24"/>
        </w:rPr>
        <w:t>(</w:t>
      </w:r>
      <w:r w:rsidR="00145D08" w:rsidRPr="00420E42">
        <w:rPr>
          <w:i/>
          <w:iCs/>
          <w:sz w:val="24"/>
          <w:szCs w:val="24"/>
          <w:bdr w:val="none" w:sz="0" w:space="0" w:color="auto" w:frame="1"/>
        </w:rPr>
        <w:t>Scarola</w:t>
      </w:r>
      <w:r w:rsidR="008B1686" w:rsidRPr="00420E42">
        <w:rPr>
          <w:sz w:val="24"/>
          <w:szCs w:val="24"/>
          <w:bdr w:val="none" w:sz="0" w:space="0" w:color="auto" w:frame="1"/>
        </w:rPr>
        <w:t>,</w:t>
      </w:r>
      <w:r w:rsidR="007D7869" w:rsidRPr="00420E42">
        <w:rPr>
          <w:sz w:val="24"/>
          <w:szCs w:val="24"/>
          <w:bdr w:val="none" w:sz="0" w:space="0" w:color="auto" w:frame="1"/>
        </w:rPr>
        <w:t xml:space="preserve"> </w:t>
      </w:r>
      <w:r w:rsidR="00145D08" w:rsidRPr="00420E42">
        <w:rPr>
          <w:sz w:val="24"/>
          <w:szCs w:val="24"/>
        </w:rPr>
        <w:t xml:space="preserve">71 NY2d </w:t>
      </w:r>
      <w:r w:rsidR="00CD5A90" w:rsidRPr="00420E42">
        <w:rPr>
          <w:sz w:val="24"/>
          <w:szCs w:val="24"/>
        </w:rPr>
        <w:t xml:space="preserve">at </w:t>
      </w:r>
      <w:r w:rsidR="00145D08" w:rsidRPr="00420E42">
        <w:rPr>
          <w:sz w:val="24"/>
          <w:szCs w:val="24"/>
        </w:rPr>
        <w:t>777</w:t>
      </w:r>
      <w:r w:rsidR="00FD6F03" w:rsidRPr="00420E42">
        <w:rPr>
          <w:sz w:val="24"/>
          <w:szCs w:val="24"/>
        </w:rPr>
        <w:t>).</w:t>
      </w:r>
      <w:r w:rsidR="00084305" w:rsidRPr="00420E42">
        <w:rPr>
          <w:sz w:val="24"/>
          <w:szCs w:val="24"/>
        </w:rPr>
        <w:t xml:space="preserve"> </w:t>
      </w:r>
      <w:r w:rsidRPr="00420E42">
        <w:rPr>
          <w:sz w:val="24"/>
          <w:szCs w:val="24"/>
        </w:rPr>
        <w:t xml:space="preserve">In </w:t>
      </w:r>
      <w:r w:rsidRPr="00420E42">
        <w:rPr>
          <w:i/>
          <w:iCs/>
          <w:sz w:val="24"/>
          <w:szCs w:val="24"/>
        </w:rPr>
        <w:t>Scarola</w:t>
      </w:r>
      <w:r w:rsidR="008D7F6A" w:rsidRPr="00420E42">
        <w:rPr>
          <w:sz w:val="24"/>
          <w:szCs w:val="24"/>
        </w:rPr>
        <w:t>,</w:t>
      </w:r>
      <w:r w:rsidR="00084305" w:rsidRPr="00420E42">
        <w:rPr>
          <w:sz w:val="24"/>
          <w:szCs w:val="24"/>
        </w:rPr>
        <w:t xml:space="preserve"> </w:t>
      </w:r>
      <w:r w:rsidRPr="00420E42">
        <w:rPr>
          <w:sz w:val="24"/>
          <w:szCs w:val="24"/>
        </w:rPr>
        <w:t>each defendant sought “to refute the complainant’s identification by demonstrating to the jury that he had a speech impediment.</w:t>
      </w:r>
      <w:r w:rsidR="00084305" w:rsidRPr="00420E42">
        <w:rPr>
          <w:sz w:val="24"/>
          <w:szCs w:val="24"/>
        </w:rPr>
        <w:t xml:space="preserve"> </w:t>
      </w:r>
      <w:r w:rsidRPr="00420E42">
        <w:rPr>
          <w:sz w:val="24"/>
          <w:szCs w:val="24"/>
        </w:rPr>
        <w:t>.</w:t>
      </w:r>
      <w:r w:rsidR="00084305" w:rsidRPr="00420E42">
        <w:rPr>
          <w:sz w:val="24"/>
          <w:szCs w:val="24"/>
        </w:rPr>
        <w:t xml:space="preserve"> </w:t>
      </w:r>
      <w:r w:rsidRPr="00420E42">
        <w:rPr>
          <w:sz w:val="24"/>
          <w:szCs w:val="24"/>
        </w:rPr>
        <w:t>.</w:t>
      </w:r>
      <w:r w:rsidR="00084305" w:rsidRPr="00420E42">
        <w:rPr>
          <w:sz w:val="24"/>
          <w:szCs w:val="24"/>
        </w:rPr>
        <w:t xml:space="preserve"> </w:t>
      </w:r>
      <w:r w:rsidRPr="00420E42">
        <w:rPr>
          <w:sz w:val="24"/>
          <w:szCs w:val="24"/>
        </w:rPr>
        <w:t>.</w:t>
      </w:r>
      <w:r w:rsidR="00084305" w:rsidRPr="00420E42">
        <w:rPr>
          <w:sz w:val="24"/>
          <w:szCs w:val="24"/>
        </w:rPr>
        <w:t xml:space="preserve"> </w:t>
      </w:r>
      <w:r w:rsidRPr="00420E42">
        <w:rPr>
          <w:sz w:val="24"/>
          <w:szCs w:val="24"/>
        </w:rPr>
        <w:t xml:space="preserve">The </w:t>
      </w:r>
      <w:r w:rsidRPr="00420E42">
        <w:rPr>
          <w:sz w:val="24"/>
          <w:szCs w:val="24"/>
          <w:shd w:val="clear" w:color="auto" w:fill="FFFFFF"/>
        </w:rPr>
        <w:t>relevance of the evidence they offered was not in what they would say, but in how they would say it”</w:t>
      </w:r>
      <w:r w:rsidR="00084305" w:rsidRPr="00420E42">
        <w:rPr>
          <w:sz w:val="24"/>
          <w:szCs w:val="24"/>
          <w:shd w:val="clear" w:color="auto" w:fill="FFFFFF"/>
        </w:rPr>
        <w:t xml:space="preserve"> (</w:t>
      </w:r>
      <w:r w:rsidR="00084305" w:rsidRPr="00420E42">
        <w:rPr>
          <w:i/>
          <w:iCs/>
          <w:sz w:val="24"/>
          <w:szCs w:val="24"/>
          <w:shd w:val="clear" w:color="auto" w:fill="FFFFFF"/>
        </w:rPr>
        <w:t>i</w:t>
      </w:r>
      <w:r w:rsidRPr="00420E42">
        <w:rPr>
          <w:i/>
          <w:iCs/>
          <w:sz w:val="24"/>
          <w:szCs w:val="24"/>
          <w:shd w:val="clear" w:color="auto" w:fill="FFFFFF"/>
        </w:rPr>
        <w:t>d</w:t>
      </w:r>
      <w:r w:rsidRPr="00420E42">
        <w:rPr>
          <w:sz w:val="24"/>
          <w:szCs w:val="24"/>
          <w:shd w:val="clear" w:color="auto" w:fill="FFFFFF"/>
        </w:rPr>
        <w:t>. at 776</w:t>
      </w:r>
      <w:r w:rsidR="00084305" w:rsidRPr="00420E42">
        <w:rPr>
          <w:sz w:val="24"/>
          <w:szCs w:val="24"/>
          <w:shd w:val="clear" w:color="auto" w:fill="FFFFFF"/>
        </w:rPr>
        <w:t>)</w:t>
      </w:r>
      <w:r w:rsidRPr="00420E42">
        <w:rPr>
          <w:sz w:val="24"/>
          <w:szCs w:val="24"/>
          <w:shd w:val="clear" w:color="auto" w:fill="FFFFFF"/>
        </w:rPr>
        <w:t xml:space="preserve">. The </w:t>
      </w:r>
      <w:r w:rsidRPr="00420E42">
        <w:rPr>
          <w:sz w:val="24"/>
          <w:szCs w:val="24"/>
        </w:rPr>
        <w:t xml:space="preserve">“trial courts did not abuse their discretion in denying defendants permission to give the proposed exemplars. . . . </w:t>
      </w:r>
      <w:r w:rsidR="00084305" w:rsidRPr="00420E42">
        <w:rPr>
          <w:sz w:val="24"/>
          <w:szCs w:val="24"/>
        </w:rPr>
        <w:t>[T]</w:t>
      </w:r>
      <w:r w:rsidRPr="00420E42">
        <w:rPr>
          <w:sz w:val="24"/>
          <w:szCs w:val="24"/>
        </w:rPr>
        <w:t>he foundation for the admission of the evidence</w:t>
      </w:r>
      <w:r w:rsidR="00567B7F" w:rsidRPr="00420E42">
        <w:rPr>
          <w:sz w:val="24"/>
          <w:szCs w:val="24"/>
        </w:rPr>
        <w:t xml:space="preserve"> . . . </w:t>
      </w:r>
      <w:r w:rsidRPr="00420E42">
        <w:rPr>
          <w:sz w:val="24"/>
          <w:szCs w:val="24"/>
        </w:rPr>
        <w:t xml:space="preserve">did not rule out the possibility that defendants could feign the existence of a speech defect” </w:t>
      </w:r>
      <w:r w:rsidR="00084305" w:rsidRPr="00420E42">
        <w:rPr>
          <w:sz w:val="24"/>
          <w:szCs w:val="24"/>
        </w:rPr>
        <w:t>(</w:t>
      </w:r>
      <w:r w:rsidR="00084305" w:rsidRPr="00420E42">
        <w:rPr>
          <w:i/>
          <w:iCs/>
          <w:sz w:val="24"/>
          <w:szCs w:val="24"/>
        </w:rPr>
        <w:t>i</w:t>
      </w:r>
      <w:r w:rsidRPr="00420E42">
        <w:rPr>
          <w:i/>
          <w:iCs/>
          <w:sz w:val="24"/>
          <w:szCs w:val="24"/>
        </w:rPr>
        <w:t>d.</w:t>
      </w:r>
      <w:r w:rsidRPr="00420E42">
        <w:rPr>
          <w:sz w:val="24"/>
          <w:szCs w:val="24"/>
        </w:rPr>
        <w:t xml:space="preserve"> at 778</w:t>
      </w:r>
      <w:r w:rsidR="00084305" w:rsidRPr="00420E42">
        <w:rPr>
          <w:sz w:val="24"/>
          <w:szCs w:val="24"/>
        </w:rPr>
        <w:t>)</w:t>
      </w:r>
      <w:r w:rsidRPr="00420E42">
        <w:rPr>
          <w:sz w:val="24"/>
          <w:szCs w:val="24"/>
        </w:rPr>
        <w:t>.</w:t>
      </w:r>
    </w:p>
    <w:p w14:paraId="0D242701" w14:textId="30848736" w:rsidR="00E003B1" w:rsidRPr="00420E42" w:rsidRDefault="00E003B1" w:rsidP="00C2388C">
      <w:pPr>
        <w:widowControl/>
        <w:shd w:val="clear" w:color="auto" w:fill="FFFFFF"/>
        <w:autoSpaceDE/>
        <w:autoSpaceDN/>
        <w:adjustRightInd/>
        <w:jc w:val="both"/>
        <w:rPr>
          <w:sz w:val="24"/>
          <w:szCs w:val="24"/>
        </w:rPr>
      </w:pPr>
    </w:p>
    <w:p w14:paraId="6F4B2EBB" w14:textId="6027B9FE" w:rsidR="00DB7F3A" w:rsidRPr="00420E42" w:rsidRDefault="00B57E96" w:rsidP="00C2388C">
      <w:pPr>
        <w:widowControl/>
        <w:shd w:val="clear" w:color="auto" w:fill="FFFFFF"/>
        <w:autoSpaceDE/>
        <w:autoSpaceDN/>
        <w:adjustRightInd/>
        <w:jc w:val="both"/>
        <w:rPr>
          <w:sz w:val="24"/>
          <w:szCs w:val="24"/>
        </w:rPr>
      </w:pPr>
      <w:r w:rsidRPr="00420E42">
        <w:rPr>
          <w:sz w:val="24"/>
          <w:szCs w:val="24"/>
        </w:rPr>
        <w:lastRenderedPageBreak/>
        <w:tab/>
      </w:r>
      <w:r w:rsidR="0003582A" w:rsidRPr="00420E42">
        <w:rPr>
          <w:sz w:val="24"/>
          <w:szCs w:val="24"/>
        </w:rPr>
        <w:t>R</w:t>
      </w:r>
      <w:r w:rsidR="000E52F7" w:rsidRPr="00420E42">
        <w:rPr>
          <w:sz w:val="24"/>
          <w:szCs w:val="24"/>
        </w:rPr>
        <w:t>equiring a defendant to produce</w:t>
      </w:r>
      <w:r w:rsidR="004165D7" w:rsidRPr="00420E42">
        <w:rPr>
          <w:sz w:val="24"/>
          <w:szCs w:val="24"/>
        </w:rPr>
        <w:t xml:space="preserve"> real evidence may </w:t>
      </w:r>
      <w:r w:rsidR="00A116E5" w:rsidRPr="00420E42">
        <w:rPr>
          <w:sz w:val="24"/>
          <w:szCs w:val="24"/>
        </w:rPr>
        <w:t xml:space="preserve">raise </w:t>
      </w:r>
      <w:r w:rsidR="00F106D8" w:rsidRPr="00420E42">
        <w:rPr>
          <w:sz w:val="24"/>
          <w:szCs w:val="24"/>
        </w:rPr>
        <w:t>a</w:t>
      </w:r>
      <w:r w:rsidR="005A43E0" w:rsidRPr="00420E42">
        <w:rPr>
          <w:sz w:val="24"/>
          <w:szCs w:val="24"/>
        </w:rPr>
        <w:t xml:space="preserve"> question </w:t>
      </w:r>
      <w:r w:rsidR="00F106D8" w:rsidRPr="00420E42">
        <w:rPr>
          <w:sz w:val="24"/>
          <w:szCs w:val="24"/>
        </w:rPr>
        <w:t>about</w:t>
      </w:r>
      <w:r w:rsidR="005A43E0" w:rsidRPr="00420E42">
        <w:rPr>
          <w:sz w:val="24"/>
          <w:szCs w:val="24"/>
        </w:rPr>
        <w:t xml:space="preserve"> whether</w:t>
      </w:r>
      <w:r w:rsidR="005D27C7" w:rsidRPr="00420E42">
        <w:rPr>
          <w:sz w:val="24"/>
          <w:szCs w:val="24"/>
        </w:rPr>
        <w:t xml:space="preserve"> </w:t>
      </w:r>
      <w:r w:rsidR="00F106D8" w:rsidRPr="00420E42">
        <w:rPr>
          <w:sz w:val="24"/>
          <w:szCs w:val="24"/>
        </w:rPr>
        <w:t xml:space="preserve">a defendant’s </w:t>
      </w:r>
      <w:r w:rsidR="005D27C7" w:rsidRPr="00420E42">
        <w:rPr>
          <w:sz w:val="24"/>
          <w:szCs w:val="24"/>
        </w:rPr>
        <w:t>Fifth Amendment privilege against compelled self-incrimination</w:t>
      </w:r>
      <w:r w:rsidR="005A43E0" w:rsidRPr="00420E42">
        <w:rPr>
          <w:sz w:val="24"/>
          <w:szCs w:val="24"/>
        </w:rPr>
        <w:t xml:space="preserve"> has been violated</w:t>
      </w:r>
      <w:r w:rsidR="00A60894" w:rsidRPr="00420E42">
        <w:rPr>
          <w:sz w:val="24"/>
          <w:szCs w:val="24"/>
        </w:rPr>
        <w:t xml:space="preserve"> (</w:t>
      </w:r>
      <w:r w:rsidR="009676C2" w:rsidRPr="00420E42">
        <w:rPr>
          <w:i/>
          <w:iCs/>
          <w:sz w:val="24"/>
          <w:szCs w:val="24"/>
          <w:bdr w:val="none" w:sz="0" w:space="0" w:color="auto" w:frame="1"/>
        </w:rPr>
        <w:t>People v Havrish</w:t>
      </w:r>
      <w:r w:rsidR="009676C2" w:rsidRPr="00420E42">
        <w:rPr>
          <w:sz w:val="24"/>
          <w:szCs w:val="24"/>
        </w:rPr>
        <w:t>, 8 NY3d 389, 391 [2007]</w:t>
      </w:r>
      <w:r w:rsidR="00A45808" w:rsidRPr="00420E42">
        <w:rPr>
          <w:sz w:val="24"/>
          <w:szCs w:val="24"/>
        </w:rPr>
        <w:t xml:space="preserve"> [the Fifth Amendment privilege was violated by a court’s order of protection that directed the defendant to surrender</w:t>
      </w:r>
      <w:r w:rsidR="00FE0E9D" w:rsidRPr="00420E42">
        <w:rPr>
          <w:sz w:val="24"/>
          <w:szCs w:val="24"/>
        </w:rPr>
        <w:t xml:space="preserve"> an unlicensed handgun]</w:t>
      </w:r>
      <w:r w:rsidR="007C5451" w:rsidRPr="00420E42">
        <w:rPr>
          <w:sz w:val="24"/>
          <w:szCs w:val="24"/>
        </w:rPr>
        <w:t>)</w:t>
      </w:r>
      <w:r w:rsidR="00974B9E" w:rsidRPr="00420E42">
        <w:rPr>
          <w:sz w:val="24"/>
          <w:szCs w:val="24"/>
        </w:rPr>
        <w:t>.</w:t>
      </w:r>
    </w:p>
    <w:p w14:paraId="3C475FA2" w14:textId="77777777" w:rsidR="00DB7F3A" w:rsidRPr="00420E42" w:rsidRDefault="00DB7F3A" w:rsidP="00C2388C">
      <w:pPr>
        <w:widowControl/>
        <w:shd w:val="clear" w:color="auto" w:fill="FFFFFF"/>
        <w:autoSpaceDE/>
        <w:autoSpaceDN/>
        <w:adjustRightInd/>
        <w:jc w:val="both"/>
        <w:rPr>
          <w:sz w:val="24"/>
          <w:szCs w:val="24"/>
        </w:rPr>
      </w:pPr>
    </w:p>
    <w:p w14:paraId="26D9B1E0" w14:textId="4E9C4DF2" w:rsidR="009676C2" w:rsidRPr="00420E42" w:rsidRDefault="00DB17B8"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shd w:val="clear" w:color="auto" w:fill="FFFFFF"/>
        </w:rPr>
      </w:pPr>
      <w:r w:rsidRPr="00420E42">
        <w:rPr>
          <w:sz w:val="24"/>
          <w:szCs w:val="24"/>
        </w:rPr>
        <w:tab/>
      </w:r>
      <w:r w:rsidR="007C5451" w:rsidRPr="00420E42">
        <w:rPr>
          <w:sz w:val="24"/>
          <w:szCs w:val="24"/>
        </w:rPr>
        <w:t xml:space="preserve">Normally, however, the </w:t>
      </w:r>
      <w:r w:rsidR="007C5451" w:rsidRPr="00420E42">
        <w:rPr>
          <w:sz w:val="24"/>
          <w:szCs w:val="24"/>
          <w:shd w:val="clear" w:color="auto" w:fill="FFFFFF"/>
        </w:rPr>
        <w:t>Fifth Amendment</w:t>
      </w:r>
      <w:r w:rsidR="00A6757D" w:rsidRPr="00420E42">
        <w:rPr>
          <w:sz w:val="24"/>
          <w:szCs w:val="24"/>
          <w:shd w:val="clear" w:color="auto" w:fill="FFFFFF"/>
        </w:rPr>
        <w:t xml:space="preserve"> </w:t>
      </w:r>
      <w:r w:rsidR="007C5451" w:rsidRPr="00420E42">
        <w:rPr>
          <w:sz w:val="24"/>
          <w:szCs w:val="24"/>
          <w:shd w:val="clear" w:color="auto" w:fill="FFFFFF"/>
        </w:rPr>
        <w:t>“offers no protection against compulsion to submit to fingerprinting, photographing, or measurements, to write or speak for identification, to appear in court, to stand, to assume a stance, to walk, or to make a particular gesture</w:t>
      </w:r>
      <w:r w:rsidR="002A7718" w:rsidRPr="00420E42">
        <w:rPr>
          <w:sz w:val="24"/>
          <w:szCs w:val="24"/>
          <w:shd w:val="clear" w:color="auto" w:fill="FFFFFF"/>
        </w:rPr>
        <w:t>.</w:t>
      </w:r>
      <w:r w:rsidR="00EC11FA" w:rsidRPr="00420E42">
        <w:rPr>
          <w:sz w:val="24"/>
          <w:szCs w:val="24"/>
          <w:shd w:val="clear" w:color="auto" w:fill="FFFFFF"/>
        </w:rPr>
        <w:t xml:space="preserve"> </w:t>
      </w:r>
      <w:r w:rsidR="007C5451" w:rsidRPr="00420E42">
        <w:rPr>
          <w:sz w:val="24"/>
          <w:szCs w:val="24"/>
          <w:shd w:val="clear" w:color="auto" w:fill="FFFFFF"/>
        </w:rPr>
        <w:t xml:space="preserve">Similarly, a defendant can be ordered to participate in a lineup or to provide a handwriting exemplar </w:t>
      </w:r>
      <w:r w:rsidR="00375443" w:rsidRPr="00420E42">
        <w:rPr>
          <w:sz w:val="24"/>
          <w:szCs w:val="24"/>
          <w:shd w:val="clear" w:color="auto" w:fill="FFFFFF"/>
        </w:rPr>
        <w:t>[</w:t>
      </w:r>
      <w:r w:rsidR="001F0E67" w:rsidRPr="00420E42">
        <w:rPr>
          <w:sz w:val="24"/>
          <w:szCs w:val="24"/>
          <w:shd w:val="clear" w:color="auto" w:fill="FFFFFF"/>
        </w:rPr>
        <w:t>or</w:t>
      </w:r>
      <w:r w:rsidR="001640E0" w:rsidRPr="00420E42">
        <w:rPr>
          <w:sz w:val="24"/>
          <w:szCs w:val="24"/>
          <w:shd w:val="clear" w:color="auto" w:fill="FFFFFF"/>
        </w:rPr>
        <w:t xml:space="preserve"> to submit to</w:t>
      </w:r>
      <w:r w:rsidR="006575E8" w:rsidRPr="00420E42">
        <w:rPr>
          <w:sz w:val="24"/>
          <w:szCs w:val="24"/>
          <w:shd w:val="clear" w:color="auto" w:fill="FFFFFF"/>
        </w:rPr>
        <w:t xml:space="preserve">] </w:t>
      </w:r>
      <w:r w:rsidR="007C5451" w:rsidRPr="00420E42">
        <w:rPr>
          <w:sz w:val="24"/>
          <w:szCs w:val="24"/>
          <w:shd w:val="clear" w:color="auto" w:fill="FFFFFF"/>
        </w:rPr>
        <w:t xml:space="preserve">field sobriety tests conducted during a traffic stop </w:t>
      </w:r>
      <w:r w:rsidR="00942B32" w:rsidRPr="00420E42">
        <w:rPr>
          <w:sz w:val="24"/>
          <w:szCs w:val="24"/>
          <w:shd w:val="clear" w:color="auto" w:fill="FFFFFF"/>
        </w:rPr>
        <w:t>[</w:t>
      </w:r>
      <w:r w:rsidR="00C972D5" w:rsidRPr="00420E42">
        <w:rPr>
          <w:sz w:val="24"/>
          <w:szCs w:val="24"/>
          <w:shd w:val="clear" w:color="auto" w:fill="FFFFFF"/>
        </w:rPr>
        <w:t>or</w:t>
      </w:r>
      <w:r w:rsidR="00793BA1" w:rsidRPr="00420E42">
        <w:rPr>
          <w:sz w:val="24"/>
          <w:szCs w:val="24"/>
          <w:shd w:val="clear" w:color="auto" w:fill="FFFFFF"/>
        </w:rPr>
        <w:t xml:space="preserve"> to</w:t>
      </w:r>
      <w:r w:rsidR="00942B32" w:rsidRPr="00420E42">
        <w:rPr>
          <w:sz w:val="24"/>
          <w:szCs w:val="24"/>
          <w:shd w:val="clear" w:color="auto" w:fill="FFFFFF"/>
        </w:rPr>
        <w:t>]</w:t>
      </w:r>
      <w:r w:rsidR="007C5451" w:rsidRPr="00420E42">
        <w:rPr>
          <w:sz w:val="24"/>
          <w:szCs w:val="24"/>
          <w:shd w:val="clear" w:color="auto" w:fill="FFFFFF"/>
        </w:rPr>
        <w:t xml:space="preserve"> display his upper body tattoos</w:t>
      </w:r>
      <w:r w:rsidR="00C7638C" w:rsidRPr="00420E42">
        <w:rPr>
          <w:sz w:val="24"/>
          <w:szCs w:val="24"/>
          <w:shd w:val="clear" w:color="auto" w:fill="FFFFFF"/>
        </w:rPr>
        <w:t>”</w:t>
      </w:r>
      <w:r w:rsidR="0057025F" w:rsidRPr="00420E42">
        <w:rPr>
          <w:sz w:val="24"/>
          <w:szCs w:val="24"/>
          <w:shd w:val="clear" w:color="auto" w:fill="FFFFFF"/>
        </w:rPr>
        <w:t xml:space="preserve"> (</w:t>
      </w:r>
      <w:r w:rsidR="0057025F" w:rsidRPr="00420E42">
        <w:rPr>
          <w:i/>
          <w:iCs/>
          <w:sz w:val="24"/>
          <w:szCs w:val="24"/>
          <w:shd w:val="clear" w:color="auto" w:fill="FFFFFF"/>
        </w:rPr>
        <w:t>i</w:t>
      </w:r>
      <w:r w:rsidR="007C5451" w:rsidRPr="00420E42">
        <w:rPr>
          <w:i/>
          <w:iCs/>
          <w:sz w:val="24"/>
          <w:szCs w:val="24"/>
          <w:shd w:val="clear" w:color="auto" w:fill="FFFFFF"/>
        </w:rPr>
        <w:t>d.</w:t>
      </w:r>
      <w:r w:rsidR="007C5451" w:rsidRPr="00420E42">
        <w:rPr>
          <w:sz w:val="24"/>
          <w:szCs w:val="24"/>
          <w:shd w:val="clear" w:color="auto" w:fill="FFFFFF"/>
        </w:rPr>
        <w:t xml:space="preserve"> at 393</w:t>
      </w:r>
      <w:r w:rsidR="0057025F" w:rsidRPr="00420E42">
        <w:rPr>
          <w:sz w:val="24"/>
          <w:szCs w:val="24"/>
          <w:shd w:val="clear" w:color="auto" w:fill="FFFFFF"/>
        </w:rPr>
        <w:t xml:space="preserve"> [internal q</w:t>
      </w:r>
      <w:r w:rsidRPr="00420E42">
        <w:rPr>
          <w:sz w:val="24"/>
          <w:szCs w:val="24"/>
          <w:shd w:val="clear" w:color="auto" w:fill="FFFFFF"/>
        </w:rPr>
        <w:t>uotation marks and citations omitted</w:t>
      </w:r>
      <w:r w:rsidR="0057025F" w:rsidRPr="00420E42">
        <w:rPr>
          <w:sz w:val="24"/>
          <w:szCs w:val="24"/>
          <w:shd w:val="clear" w:color="auto" w:fill="FFFFFF"/>
        </w:rPr>
        <w:t xml:space="preserve">]; </w:t>
      </w:r>
      <w:r w:rsidR="0057025F" w:rsidRPr="00420E42">
        <w:rPr>
          <w:i/>
          <w:iCs/>
          <w:sz w:val="24"/>
          <w:szCs w:val="24"/>
          <w:shd w:val="clear" w:color="auto" w:fill="FFFFFF"/>
        </w:rPr>
        <w:t>s</w:t>
      </w:r>
      <w:r w:rsidR="007C5451" w:rsidRPr="00420E42">
        <w:rPr>
          <w:i/>
          <w:iCs/>
          <w:sz w:val="24"/>
          <w:szCs w:val="24"/>
          <w:shd w:val="clear" w:color="auto" w:fill="FFFFFF"/>
        </w:rPr>
        <w:t>ee</w:t>
      </w:r>
      <w:r w:rsidR="007C5451" w:rsidRPr="00420E42">
        <w:rPr>
          <w:sz w:val="24"/>
          <w:szCs w:val="24"/>
          <w:shd w:val="clear" w:color="auto" w:fill="FFFFFF"/>
        </w:rPr>
        <w:t xml:space="preserve"> </w:t>
      </w:r>
      <w:r w:rsidR="009676C2" w:rsidRPr="00420E42">
        <w:rPr>
          <w:i/>
          <w:iCs/>
          <w:sz w:val="24"/>
          <w:szCs w:val="24"/>
          <w:bdr w:val="none" w:sz="0" w:space="0" w:color="auto" w:frame="1"/>
        </w:rPr>
        <w:t>People</w:t>
      </w:r>
      <w:r w:rsidR="0057025F" w:rsidRPr="00420E42">
        <w:rPr>
          <w:i/>
          <w:iCs/>
          <w:sz w:val="24"/>
          <w:szCs w:val="24"/>
          <w:bdr w:val="none" w:sz="0" w:space="0" w:color="auto" w:frame="1"/>
        </w:rPr>
        <w:t xml:space="preserve"> </w:t>
      </w:r>
      <w:r w:rsidR="009676C2" w:rsidRPr="00420E42">
        <w:rPr>
          <w:i/>
          <w:iCs/>
          <w:sz w:val="24"/>
          <w:szCs w:val="24"/>
          <w:bdr w:val="none" w:sz="0" w:space="0" w:color="auto" w:frame="1"/>
        </w:rPr>
        <w:t>v</w:t>
      </w:r>
      <w:r w:rsidR="0057025F" w:rsidRPr="00420E42">
        <w:rPr>
          <w:i/>
          <w:iCs/>
          <w:sz w:val="24"/>
          <w:szCs w:val="24"/>
          <w:bdr w:val="none" w:sz="0" w:space="0" w:color="auto" w:frame="1"/>
        </w:rPr>
        <w:t xml:space="preserve"> </w:t>
      </w:r>
      <w:r w:rsidR="009676C2" w:rsidRPr="00420E42">
        <w:rPr>
          <w:i/>
          <w:iCs/>
          <w:sz w:val="24"/>
          <w:szCs w:val="24"/>
          <w:bdr w:val="none" w:sz="0" w:space="0" w:color="auto" w:frame="1"/>
        </w:rPr>
        <w:t>Hill</w:t>
      </w:r>
      <w:r w:rsidR="009676C2" w:rsidRPr="00420E42">
        <w:rPr>
          <w:sz w:val="24"/>
          <w:szCs w:val="24"/>
        </w:rPr>
        <w:t>, 82 AD3d 1715, 1716 [4th Dept 2011]</w:t>
      </w:r>
      <w:r w:rsidR="007C5451" w:rsidRPr="00420E42">
        <w:rPr>
          <w:sz w:val="24"/>
          <w:szCs w:val="24"/>
        </w:rPr>
        <w:t xml:space="preserve"> [“</w:t>
      </w:r>
      <w:r w:rsidR="009676C2" w:rsidRPr="00420E42">
        <w:rPr>
          <w:sz w:val="24"/>
          <w:szCs w:val="24"/>
          <w:shd w:val="clear" w:color="auto" w:fill="FFFFFF"/>
        </w:rPr>
        <w:t>The Fifth Amendment privilege against self-incrimination does not preclude a defendant from being required to reveal the physical characteristics of his or her body</w:t>
      </w:r>
      <w:r w:rsidRPr="00420E42">
        <w:rPr>
          <w:sz w:val="24"/>
          <w:szCs w:val="24"/>
          <w:shd w:val="clear" w:color="auto" w:fill="FFFFFF"/>
        </w:rPr>
        <w:t>”</w:t>
      </w:r>
      <w:r w:rsidR="00C23F4E" w:rsidRPr="00420E42">
        <w:rPr>
          <w:sz w:val="24"/>
          <w:szCs w:val="24"/>
          <w:shd w:val="clear" w:color="auto" w:fill="FFFFFF"/>
        </w:rPr>
        <w:t>]).</w:t>
      </w:r>
    </w:p>
    <w:p w14:paraId="617FE3E0" w14:textId="707AC27F" w:rsidR="0057025F" w:rsidRPr="00420E42" w:rsidRDefault="0057025F"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bookmarkStart w:id="3" w:name="_Hlk125466631"/>
    </w:p>
    <w:p w14:paraId="593E65F7" w14:textId="2EAB768F" w:rsidR="00704139" w:rsidRPr="00420E42" w:rsidRDefault="0057025F"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420E42">
        <w:rPr>
          <w:sz w:val="24"/>
          <w:szCs w:val="24"/>
        </w:rPr>
        <w:tab/>
      </w:r>
      <w:r w:rsidR="00240FE7" w:rsidRPr="00420E42">
        <w:rPr>
          <w:sz w:val="24"/>
          <w:szCs w:val="24"/>
        </w:rPr>
        <w:t xml:space="preserve">Even where </w:t>
      </w:r>
      <w:r w:rsidR="00F904B2" w:rsidRPr="00420E42">
        <w:rPr>
          <w:sz w:val="24"/>
          <w:szCs w:val="24"/>
        </w:rPr>
        <w:t xml:space="preserve">the People introduced photographs of </w:t>
      </w:r>
      <w:r w:rsidR="00240FE7" w:rsidRPr="00420E42">
        <w:rPr>
          <w:sz w:val="24"/>
          <w:szCs w:val="24"/>
        </w:rPr>
        <w:t>a</w:t>
      </w:r>
      <w:r w:rsidR="00F904B2" w:rsidRPr="00420E42">
        <w:rPr>
          <w:sz w:val="24"/>
          <w:szCs w:val="24"/>
        </w:rPr>
        <w:t xml:space="preserve"> defendant’s </w:t>
      </w:r>
      <w:r w:rsidR="005361F2" w:rsidRPr="00420E42">
        <w:rPr>
          <w:sz w:val="24"/>
          <w:szCs w:val="24"/>
        </w:rPr>
        <w:t xml:space="preserve">upper body tattoos </w:t>
      </w:r>
      <w:r w:rsidR="003C49C0" w:rsidRPr="00420E42">
        <w:rPr>
          <w:sz w:val="24"/>
          <w:szCs w:val="24"/>
        </w:rPr>
        <w:t>that contained words evincing hate as evidence of the defendant</w:t>
      </w:r>
      <w:r w:rsidR="00EC11FA" w:rsidRPr="00420E42">
        <w:rPr>
          <w:sz w:val="24"/>
          <w:szCs w:val="24"/>
        </w:rPr>
        <w:t>’</w:t>
      </w:r>
      <w:r w:rsidR="003C49C0" w:rsidRPr="00420E42">
        <w:rPr>
          <w:sz w:val="24"/>
          <w:szCs w:val="24"/>
        </w:rPr>
        <w:t>s motive for committing a hate crime</w:t>
      </w:r>
      <w:r w:rsidR="00240FE7" w:rsidRPr="00420E42">
        <w:rPr>
          <w:sz w:val="24"/>
          <w:szCs w:val="24"/>
        </w:rPr>
        <w:t>, the</w:t>
      </w:r>
      <w:r w:rsidR="00B74727" w:rsidRPr="00420E42">
        <w:rPr>
          <w:sz w:val="24"/>
          <w:szCs w:val="24"/>
        </w:rPr>
        <w:t xml:space="preserve">re was no violation of </w:t>
      </w:r>
      <w:r w:rsidR="00BC5764" w:rsidRPr="00420E42">
        <w:rPr>
          <w:sz w:val="24"/>
          <w:szCs w:val="24"/>
        </w:rPr>
        <w:t>the Fifth Amendment privilege</w:t>
      </w:r>
      <w:bookmarkEnd w:id="3"/>
      <w:r w:rsidRPr="00420E42">
        <w:rPr>
          <w:sz w:val="24"/>
          <w:szCs w:val="24"/>
        </w:rPr>
        <w:t xml:space="preserve"> </w:t>
      </w:r>
      <w:r w:rsidR="000542AA" w:rsidRPr="00420E42">
        <w:rPr>
          <w:sz w:val="24"/>
          <w:szCs w:val="24"/>
        </w:rPr>
        <w:t>(</w:t>
      </w:r>
      <w:r w:rsidR="000542AA" w:rsidRPr="00420E42">
        <w:rPr>
          <w:i/>
          <w:iCs/>
          <w:sz w:val="24"/>
          <w:szCs w:val="24"/>
        </w:rPr>
        <w:t>People v Slavin</w:t>
      </w:r>
      <w:r w:rsidR="000542AA" w:rsidRPr="00420E42">
        <w:rPr>
          <w:sz w:val="24"/>
          <w:szCs w:val="24"/>
        </w:rPr>
        <w:t xml:space="preserve">, 1 NY3d 392 [2004]). </w:t>
      </w:r>
      <w:r w:rsidR="00183433" w:rsidRPr="00420E42">
        <w:rPr>
          <w:sz w:val="24"/>
          <w:szCs w:val="24"/>
        </w:rPr>
        <w:t>“</w:t>
      </w:r>
      <w:r w:rsidR="00704139" w:rsidRPr="00420E42">
        <w:rPr>
          <w:sz w:val="24"/>
          <w:szCs w:val="24"/>
        </w:rPr>
        <w:t>The tattoos were physical characteristics, not testimony forced from his mouth (</w:t>
      </w:r>
      <w:r w:rsidR="00704139" w:rsidRPr="00420E42">
        <w:rPr>
          <w:i/>
          <w:iCs/>
          <w:sz w:val="24"/>
          <w:szCs w:val="24"/>
        </w:rPr>
        <w:t>see Schmerber v California</w:t>
      </w:r>
      <w:r w:rsidR="00704139" w:rsidRPr="00420E42">
        <w:rPr>
          <w:sz w:val="24"/>
          <w:szCs w:val="24"/>
        </w:rPr>
        <w:t>, 384 US 757, 764</w:t>
      </w:r>
      <w:r w:rsidR="00C2388C" w:rsidRPr="00420E42">
        <w:rPr>
          <w:sz w:val="24"/>
          <w:szCs w:val="24"/>
        </w:rPr>
        <w:t>-</w:t>
      </w:r>
      <w:r w:rsidR="00704139" w:rsidRPr="00420E42">
        <w:rPr>
          <w:sz w:val="24"/>
          <w:szCs w:val="24"/>
        </w:rPr>
        <w:t>765</w:t>
      </w:r>
      <w:r w:rsidRPr="00420E42">
        <w:rPr>
          <w:sz w:val="24"/>
          <w:szCs w:val="24"/>
        </w:rPr>
        <w:t xml:space="preserve"> </w:t>
      </w:r>
      <w:r w:rsidR="00704139" w:rsidRPr="00420E42">
        <w:rPr>
          <w:sz w:val="24"/>
          <w:szCs w:val="24"/>
        </w:rPr>
        <w:t xml:space="preserve">[1966]; </w:t>
      </w:r>
      <w:r w:rsidR="00704139" w:rsidRPr="00420E42">
        <w:rPr>
          <w:i/>
          <w:iCs/>
          <w:sz w:val="24"/>
          <w:szCs w:val="24"/>
        </w:rPr>
        <w:t>People v Berg</w:t>
      </w:r>
      <w:r w:rsidR="00704139" w:rsidRPr="00420E42">
        <w:rPr>
          <w:sz w:val="24"/>
          <w:szCs w:val="24"/>
        </w:rPr>
        <w:t>, 92 NY2d 701, 704</w:t>
      </w:r>
      <w:r w:rsidRPr="00420E42">
        <w:rPr>
          <w:sz w:val="24"/>
          <w:szCs w:val="24"/>
        </w:rPr>
        <w:t xml:space="preserve"> </w:t>
      </w:r>
      <w:r w:rsidR="00704139" w:rsidRPr="00420E42">
        <w:rPr>
          <w:sz w:val="24"/>
          <w:szCs w:val="24"/>
        </w:rPr>
        <w:t>[1999]).</w:t>
      </w:r>
      <w:r w:rsidR="00183433" w:rsidRPr="00420E42">
        <w:rPr>
          <w:sz w:val="24"/>
          <w:szCs w:val="24"/>
        </w:rPr>
        <w:t xml:space="preserve"> </w:t>
      </w:r>
      <w:r w:rsidR="00704139" w:rsidRPr="00420E42">
        <w:rPr>
          <w:sz w:val="24"/>
          <w:szCs w:val="24"/>
        </w:rPr>
        <w:t>However much the tattoos may have reflected defendant</w:t>
      </w:r>
      <w:r w:rsidR="00EC11FA" w:rsidRPr="00420E42">
        <w:rPr>
          <w:sz w:val="24"/>
          <w:szCs w:val="24"/>
        </w:rPr>
        <w:t>’</w:t>
      </w:r>
      <w:r w:rsidR="00704139" w:rsidRPr="00420E42">
        <w:rPr>
          <w:sz w:val="24"/>
          <w:szCs w:val="24"/>
        </w:rPr>
        <w:t>s inner thoughts, the People did not compel him to create them in the first place</w:t>
      </w:r>
      <w:r w:rsidR="009B3BB9" w:rsidRPr="00420E42">
        <w:rPr>
          <w:sz w:val="24"/>
          <w:szCs w:val="24"/>
        </w:rPr>
        <w:t>”</w:t>
      </w:r>
      <w:r w:rsidR="00183433" w:rsidRPr="00420E42">
        <w:rPr>
          <w:sz w:val="24"/>
          <w:szCs w:val="24"/>
        </w:rPr>
        <w:t xml:space="preserve"> </w:t>
      </w:r>
      <w:r w:rsidR="009B3BB9" w:rsidRPr="00420E42">
        <w:rPr>
          <w:sz w:val="24"/>
          <w:szCs w:val="24"/>
        </w:rPr>
        <w:t>(</w:t>
      </w:r>
      <w:r w:rsidRPr="00420E42">
        <w:rPr>
          <w:i/>
          <w:iCs/>
          <w:sz w:val="24"/>
          <w:szCs w:val="24"/>
        </w:rPr>
        <w:t>i</w:t>
      </w:r>
      <w:r w:rsidR="00183433" w:rsidRPr="00420E42">
        <w:rPr>
          <w:i/>
          <w:iCs/>
          <w:sz w:val="24"/>
          <w:szCs w:val="24"/>
        </w:rPr>
        <w:t>d.</w:t>
      </w:r>
      <w:r w:rsidR="00183433" w:rsidRPr="00420E42">
        <w:rPr>
          <w:sz w:val="24"/>
          <w:szCs w:val="24"/>
        </w:rPr>
        <w:t xml:space="preserve"> at 394-</w:t>
      </w:r>
      <w:r w:rsidRPr="00420E42">
        <w:rPr>
          <w:sz w:val="24"/>
          <w:szCs w:val="24"/>
        </w:rPr>
        <w:t>3</w:t>
      </w:r>
      <w:r w:rsidR="00183433" w:rsidRPr="00420E42">
        <w:rPr>
          <w:sz w:val="24"/>
          <w:szCs w:val="24"/>
        </w:rPr>
        <w:t>95</w:t>
      </w:r>
      <w:r w:rsidR="009B3BB9" w:rsidRPr="00420E42">
        <w:rPr>
          <w:sz w:val="24"/>
          <w:szCs w:val="24"/>
        </w:rPr>
        <w:t>)</w:t>
      </w:r>
      <w:r w:rsidR="00183433" w:rsidRPr="00420E42">
        <w:rPr>
          <w:sz w:val="24"/>
          <w:szCs w:val="24"/>
        </w:rPr>
        <w:t>.</w:t>
      </w:r>
    </w:p>
    <w:p w14:paraId="770C580E" w14:textId="77777777" w:rsidR="00FB7888" w:rsidRPr="00420E42" w:rsidRDefault="00FB7888" w:rsidP="00C238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sectPr w:rsidR="00FB7888" w:rsidRPr="00420E42" w:rsidSect="00C2388C">
      <w:footerReference w:type="default" r:id="rId7"/>
      <w:endnotePr>
        <w:numFmt w:val="decimal"/>
      </w:endnotePr>
      <w:type w:val="continuous"/>
      <w:pgSz w:w="12240" w:h="15840" w:code="1"/>
      <w:pgMar w:top="1440" w:right="2160" w:bottom="1440" w:left="21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E16D" w14:textId="77777777" w:rsidR="005B68EC" w:rsidRDefault="005B68EC" w:rsidP="002E4D41">
      <w:r>
        <w:separator/>
      </w:r>
    </w:p>
  </w:endnote>
  <w:endnote w:type="continuationSeparator" w:id="0">
    <w:p w14:paraId="6C7E83F0" w14:textId="77777777" w:rsidR="005B68EC" w:rsidRDefault="005B68EC" w:rsidP="002E4D41">
      <w:r>
        <w:continuationSeparator/>
      </w:r>
    </w:p>
  </w:endnote>
  <w:endnote w:id="1">
    <w:p w14:paraId="0F21B08C" w14:textId="547DD448" w:rsidR="00667315" w:rsidRDefault="00667315" w:rsidP="00667315">
      <w:pPr>
        <w:pStyle w:val="EndnoteText"/>
      </w:pPr>
      <w:r w:rsidRPr="00420E42">
        <w:rPr>
          <w:rStyle w:val="EndnoteReference"/>
        </w:rPr>
        <w:endnoteRef/>
      </w:r>
      <w:r w:rsidRPr="00420E42">
        <w:t xml:space="preserve"> In May 2023, the rule was amended to add the proviso and to amplify the Note.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8944" w14:textId="77777777" w:rsidR="002E4D41" w:rsidRDefault="002E4D41" w:rsidP="002E4D4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50A6" w14:textId="77777777" w:rsidR="005B68EC" w:rsidRDefault="005B68EC" w:rsidP="002E4D41">
      <w:r>
        <w:separator/>
      </w:r>
    </w:p>
  </w:footnote>
  <w:footnote w:type="continuationSeparator" w:id="0">
    <w:p w14:paraId="7EF2B1DE" w14:textId="77777777" w:rsidR="005B68EC" w:rsidRDefault="005B68EC" w:rsidP="002E4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NDM1MzI2Mjc2NDdV0lEKTi0uzszPAykwrAUA55+MoiwAAAA="/>
  </w:docVars>
  <w:rsids>
    <w:rsidRoot w:val="00BC2419"/>
    <w:rsid w:val="00012807"/>
    <w:rsid w:val="000303FF"/>
    <w:rsid w:val="0003582A"/>
    <w:rsid w:val="0004271E"/>
    <w:rsid w:val="00042DCF"/>
    <w:rsid w:val="00050809"/>
    <w:rsid w:val="000538F3"/>
    <w:rsid w:val="00053CAC"/>
    <w:rsid w:val="000542AA"/>
    <w:rsid w:val="00062192"/>
    <w:rsid w:val="00073830"/>
    <w:rsid w:val="00074893"/>
    <w:rsid w:val="00084305"/>
    <w:rsid w:val="000A7D05"/>
    <w:rsid w:val="000C7138"/>
    <w:rsid w:val="000E52F7"/>
    <w:rsid w:val="000E7DD9"/>
    <w:rsid w:val="000F5A82"/>
    <w:rsid w:val="001037FE"/>
    <w:rsid w:val="00120D36"/>
    <w:rsid w:val="00126601"/>
    <w:rsid w:val="00134DC4"/>
    <w:rsid w:val="00145D08"/>
    <w:rsid w:val="00163141"/>
    <w:rsid w:val="001640E0"/>
    <w:rsid w:val="00173D11"/>
    <w:rsid w:val="00183433"/>
    <w:rsid w:val="001836DA"/>
    <w:rsid w:val="00186CD4"/>
    <w:rsid w:val="001B2877"/>
    <w:rsid w:val="001B51BF"/>
    <w:rsid w:val="001D55BF"/>
    <w:rsid w:val="001F0E67"/>
    <w:rsid w:val="00200735"/>
    <w:rsid w:val="00202349"/>
    <w:rsid w:val="002028EF"/>
    <w:rsid w:val="00204A42"/>
    <w:rsid w:val="002122AC"/>
    <w:rsid w:val="00222909"/>
    <w:rsid w:val="002336E7"/>
    <w:rsid w:val="00240FE7"/>
    <w:rsid w:val="002441A2"/>
    <w:rsid w:val="00252D03"/>
    <w:rsid w:val="00256C0A"/>
    <w:rsid w:val="0026492C"/>
    <w:rsid w:val="00272AF0"/>
    <w:rsid w:val="00275B46"/>
    <w:rsid w:val="002A7718"/>
    <w:rsid w:val="002B173A"/>
    <w:rsid w:val="002C62D8"/>
    <w:rsid w:val="002C6362"/>
    <w:rsid w:val="002E4D41"/>
    <w:rsid w:val="002F5037"/>
    <w:rsid w:val="00304718"/>
    <w:rsid w:val="003055F6"/>
    <w:rsid w:val="00315122"/>
    <w:rsid w:val="00315178"/>
    <w:rsid w:val="0031522C"/>
    <w:rsid w:val="00325C77"/>
    <w:rsid w:val="003307ED"/>
    <w:rsid w:val="00332033"/>
    <w:rsid w:val="0034411D"/>
    <w:rsid w:val="00346113"/>
    <w:rsid w:val="003633F5"/>
    <w:rsid w:val="003716D3"/>
    <w:rsid w:val="00375443"/>
    <w:rsid w:val="00393803"/>
    <w:rsid w:val="003B3FFC"/>
    <w:rsid w:val="003B4AD8"/>
    <w:rsid w:val="003C49C0"/>
    <w:rsid w:val="003D399F"/>
    <w:rsid w:val="003D3BD4"/>
    <w:rsid w:val="003D53EB"/>
    <w:rsid w:val="003E3368"/>
    <w:rsid w:val="003F0538"/>
    <w:rsid w:val="00404483"/>
    <w:rsid w:val="0040709C"/>
    <w:rsid w:val="004165D7"/>
    <w:rsid w:val="00420E42"/>
    <w:rsid w:val="004302F2"/>
    <w:rsid w:val="0043045E"/>
    <w:rsid w:val="00440CC3"/>
    <w:rsid w:val="00451952"/>
    <w:rsid w:val="00451EE0"/>
    <w:rsid w:val="00452B90"/>
    <w:rsid w:val="004542D5"/>
    <w:rsid w:val="0045585B"/>
    <w:rsid w:val="004600D9"/>
    <w:rsid w:val="00464421"/>
    <w:rsid w:val="004646E2"/>
    <w:rsid w:val="00472801"/>
    <w:rsid w:val="00492147"/>
    <w:rsid w:val="00493667"/>
    <w:rsid w:val="00495A95"/>
    <w:rsid w:val="00497F43"/>
    <w:rsid w:val="004A05A0"/>
    <w:rsid w:val="004C498C"/>
    <w:rsid w:val="004D3570"/>
    <w:rsid w:val="004E09F0"/>
    <w:rsid w:val="004E34D3"/>
    <w:rsid w:val="004E6B57"/>
    <w:rsid w:val="004F3170"/>
    <w:rsid w:val="00505CC1"/>
    <w:rsid w:val="00515F2E"/>
    <w:rsid w:val="005361F2"/>
    <w:rsid w:val="005552D3"/>
    <w:rsid w:val="00556981"/>
    <w:rsid w:val="00565734"/>
    <w:rsid w:val="00567B7F"/>
    <w:rsid w:val="0057025F"/>
    <w:rsid w:val="00575D58"/>
    <w:rsid w:val="0059426A"/>
    <w:rsid w:val="005A43E0"/>
    <w:rsid w:val="005A635B"/>
    <w:rsid w:val="005B68EC"/>
    <w:rsid w:val="005C08D2"/>
    <w:rsid w:val="005D27C7"/>
    <w:rsid w:val="005E42C2"/>
    <w:rsid w:val="005F043B"/>
    <w:rsid w:val="005F2E39"/>
    <w:rsid w:val="00611030"/>
    <w:rsid w:val="006575E8"/>
    <w:rsid w:val="00667315"/>
    <w:rsid w:val="00670DFD"/>
    <w:rsid w:val="00686A7C"/>
    <w:rsid w:val="00694E76"/>
    <w:rsid w:val="00697A1E"/>
    <w:rsid w:val="006B0106"/>
    <w:rsid w:val="006B0FF8"/>
    <w:rsid w:val="006B174A"/>
    <w:rsid w:val="006B4B24"/>
    <w:rsid w:val="006D11C6"/>
    <w:rsid w:val="006F5179"/>
    <w:rsid w:val="006F6F6A"/>
    <w:rsid w:val="00704139"/>
    <w:rsid w:val="00711FCB"/>
    <w:rsid w:val="00732B9D"/>
    <w:rsid w:val="00737127"/>
    <w:rsid w:val="007472E2"/>
    <w:rsid w:val="00751020"/>
    <w:rsid w:val="0075320E"/>
    <w:rsid w:val="00756E10"/>
    <w:rsid w:val="00764388"/>
    <w:rsid w:val="007827CE"/>
    <w:rsid w:val="00793BA1"/>
    <w:rsid w:val="007B64FF"/>
    <w:rsid w:val="007C5451"/>
    <w:rsid w:val="007D08DB"/>
    <w:rsid w:val="007D7869"/>
    <w:rsid w:val="007E31AE"/>
    <w:rsid w:val="007E4587"/>
    <w:rsid w:val="00807517"/>
    <w:rsid w:val="008301E4"/>
    <w:rsid w:val="00834AA3"/>
    <w:rsid w:val="00837B0F"/>
    <w:rsid w:val="00841A64"/>
    <w:rsid w:val="008479CA"/>
    <w:rsid w:val="00850914"/>
    <w:rsid w:val="00853C21"/>
    <w:rsid w:val="00857EDA"/>
    <w:rsid w:val="008840D7"/>
    <w:rsid w:val="00895CD7"/>
    <w:rsid w:val="008973DD"/>
    <w:rsid w:val="00897F49"/>
    <w:rsid w:val="008B1686"/>
    <w:rsid w:val="008C0B10"/>
    <w:rsid w:val="008C378B"/>
    <w:rsid w:val="008D4A0F"/>
    <w:rsid w:val="008D6314"/>
    <w:rsid w:val="008D7F6A"/>
    <w:rsid w:val="008F14B2"/>
    <w:rsid w:val="008F681F"/>
    <w:rsid w:val="0090373B"/>
    <w:rsid w:val="009040AF"/>
    <w:rsid w:val="009170F7"/>
    <w:rsid w:val="0091768B"/>
    <w:rsid w:val="00933680"/>
    <w:rsid w:val="00942B32"/>
    <w:rsid w:val="00947192"/>
    <w:rsid w:val="0096537E"/>
    <w:rsid w:val="009676C2"/>
    <w:rsid w:val="00974B9E"/>
    <w:rsid w:val="009818EC"/>
    <w:rsid w:val="00982D04"/>
    <w:rsid w:val="009840C5"/>
    <w:rsid w:val="009849B5"/>
    <w:rsid w:val="009951E2"/>
    <w:rsid w:val="009B3BB9"/>
    <w:rsid w:val="009D5FED"/>
    <w:rsid w:val="009E154B"/>
    <w:rsid w:val="009E57C2"/>
    <w:rsid w:val="00A01035"/>
    <w:rsid w:val="00A116E5"/>
    <w:rsid w:val="00A148EC"/>
    <w:rsid w:val="00A253E3"/>
    <w:rsid w:val="00A45808"/>
    <w:rsid w:val="00A46C3F"/>
    <w:rsid w:val="00A53C62"/>
    <w:rsid w:val="00A60894"/>
    <w:rsid w:val="00A6757D"/>
    <w:rsid w:val="00A721EF"/>
    <w:rsid w:val="00A762C7"/>
    <w:rsid w:val="00A85EA5"/>
    <w:rsid w:val="00A91493"/>
    <w:rsid w:val="00AA0B4D"/>
    <w:rsid w:val="00AB1917"/>
    <w:rsid w:val="00AC383B"/>
    <w:rsid w:val="00AC5BD2"/>
    <w:rsid w:val="00AC79D4"/>
    <w:rsid w:val="00AD19D2"/>
    <w:rsid w:val="00AE0B89"/>
    <w:rsid w:val="00B11DD3"/>
    <w:rsid w:val="00B24175"/>
    <w:rsid w:val="00B32F4B"/>
    <w:rsid w:val="00B338E2"/>
    <w:rsid w:val="00B57E96"/>
    <w:rsid w:val="00B6071B"/>
    <w:rsid w:val="00B65F31"/>
    <w:rsid w:val="00B712DB"/>
    <w:rsid w:val="00B74727"/>
    <w:rsid w:val="00B806E4"/>
    <w:rsid w:val="00B858F1"/>
    <w:rsid w:val="00B86B2D"/>
    <w:rsid w:val="00BA1463"/>
    <w:rsid w:val="00BA75FD"/>
    <w:rsid w:val="00BC00D9"/>
    <w:rsid w:val="00BC1DEF"/>
    <w:rsid w:val="00BC2419"/>
    <w:rsid w:val="00BC406D"/>
    <w:rsid w:val="00BC5764"/>
    <w:rsid w:val="00BD219B"/>
    <w:rsid w:val="00BD41A4"/>
    <w:rsid w:val="00BE0126"/>
    <w:rsid w:val="00C161A7"/>
    <w:rsid w:val="00C2388C"/>
    <w:rsid w:val="00C23B28"/>
    <w:rsid w:val="00C23F4E"/>
    <w:rsid w:val="00C33255"/>
    <w:rsid w:val="00C3698C"/>
    <w:rsid w:val="00C519C8"/>
    <w:rsid w:val="00C6285C"/>
    <w:rsid w:val="00C706B1"/>
    <w:rsid w:val="00C7638C"/>
    <w:rsid w:val="00C76B98"/>
    <w:rsid w:val="00C771FE"/>
    <w:rsid w:val="00C8755F"/>
    <w:rsid w:val="00C91156"/>
    <w:rsid w:val="00C91D4B"/>
    <w:rsid w:val="00C95E65"/>
    <w:rsid w:val="00C972D5"/>
    <w:rsid w:val="00CC1FCC"/>
    <w:rsid w:val="00CD568A"/>
    <w:rsid w:val="00CD5A90"/>
    <w:rsid w:val="00CD6EC2"/>
    <w:rsid w:val="00CE319C"/>
    <w:rsid w:val="00CE3B8C"/>
    <w:rsid w:val="00CF170C"/>
    <w:rsid w:val="00D12A84"/>
    <w:rsid w:val="00D301F5"/>
    <w:rsid w:val="00D447A3"/>
    <w:rsid w:val="00D50028"/>
    <w:rsid w:val="00D52CE7"/>
    <w:rsid w:val="00D950FC"/>
    <w:rsid w:val="00DA61A2"/>
    <w:rsid w:val="00DB17B8"/>
    <w:rsid w:val="00DB7F3A"/>
    <w:rsid w:val="00DC2D19"/>
    <w:rsid w:val="00DC3198"/>
    <w:rsid w:val="00DF4274"/>
    <w:rsid w:val="00E003B1"/>
    <w:rsid w:val="00E15A6F"/>
    <w:rsid w:val="00E24618"/>
    <w:rsid w:val="00E33140"/>
    <w:rsid w:val="00E41B56"/>
    <w:rsid w:val="00E429F7"/>
    <w:rsid w:val="00E42CAE"/>
    <w:rsid w:val="00E65CF8"/>
    <w:rsid w:val="00E77695"/>
    <w:rsid w:val="00E801B6"/>
    <w:rsid w:val="00E853AA"/>
    <w:rsid w:val="00E86A0C"/>
    <w:rsid w:val="00EC11FA"/>
    <w:rsid w:val="00EE0851"/>
    <w:rsid w:val="00EE179D"/>
    <w:rsid w:val="00EE2E98"/>
    <w:rsid w:val="00EE5EDA"/>
    <w:rsid w:val="00F07498"/>
    <w:rsid w:val="00F106D8"/>
    <w:rsid w:val="00F17CCF"/>
    <w:rsid w:val="00F26366"/>
    <w:rsid w:val="00F42D15"/>
    <w:rsid w:val="00F6647C"/>
    <w:rsid w:val="00F74251"/>
    <w:rsid w:val="00F8292F"/>
    <w:rsid w:val="00F904B2"/>
    <w:rsid w:val="00F93CC0"/>
    <w:rsid w:val="00F95A7F"/>
    <w:rsid w:val="00FA71CD"/>
    <w:rsid w:val="00FB7888"/>
    <w:rsid w:val="00FD6F03"/>
    <w:rsid w:val="00FE0E9D"/>
    <w:rsid w:val="00FE52D8"/>
    <w:rsid w:val="00FE7A70"/>
    <w:rsid w:val="00FF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ECDC6"/>
  <w14:defaultImageDpi w14:val="0"/>
  <w15:docId w15:val="{536830AA-2C7C-4061-97E0-AADABDE4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7C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D41"/>
    <w:pPr>
      <w:tabs>
        <w:tab w:val="center" w:pos="4680"/>
        <w:tab w:val="right" w:pos="9360"/>
      </w:tabs>
    </w:pPr>
  </w:style>
  <w:style w:type="character" w:customStyle="1" w:styleId="HeaderChar">
    <w:name w:val="Header Char"/>
    <w:link w:val="Header"/>
    <w:uiPriority w:val="99"/>
    <w:rsid w:val="002E4D41"/>
    <w:rPr>
      <w:rFonts w:ascii="Times New Roman" w:hAnsi="Times New Roman" w:cs="Times New Roman"/>
      <w:sz w:val="20"/>
      <w:szCs w:val="20"/>
    </w:rPr>
  </w:style>
  <w:style w:type="paragraph" w:styleId="Footer">
    <w:name w:val="footer"/>
    <w:basedOn w:val="Normal"/>
    <w:link w:val="FooterChar"/>
    <w:uiPriority w:val="99"/>
    <w:unhideWhenUsed/>
    <w:rsid w:val="002E4D41"/>
    <w:pPr>
      <w:tabs>
        <w:tab w:val="center" w:pos="4680"/>
        <w:tab w:val="right" w:pos="9360"/>
      </w:tabs>
    </w:pPr>
  </w:style>
  <w:style w:type="character" w:customStyle="1" w:styleId="FooterChar">
    <w:name w:val="Footer Char"/>
    <w:link w:val="Footer"/>
    <w:uiPriority w:val="99"/>
    <w:rsid w:val="002E4D41"/>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F6647C"/>
    <w:rPr>
      <w:sz w:val="16"/>
      <w:szCs w:val="16"/>
    </w:rPr>
  </w:style>
  <w:style w:type="paragraph" w:styleId="CommentText">
    <w:name w:val="annotation text"/>
    <w:basedOn w:val="Normal"/>
    <w:link w:val="CommentTextChar"/>
    <w:uiPriority w:val="99"/>
    <w:semiHidden/>
    <w:unhideWhenUsed/>
    <w:rsid w:val="00F6647C"/>
  </w:style>
  <w:style w:type="character" w:customStyle="1" w:styleId="CommentTextChar">
    <w:name w:val="Comment Text Char"/>
    <w:basedOn w:val="DefaultParagraphFont"/>
    <w:link w:val="CommentText"/>
    <w:uiPriority w:val="99"/>
    <w:semiHidden/>
    <w:rsid w:val="00F664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647C"/>
    <w:rPr>
      <w:b/>
      <w:bCs/>
    </w:rPr>
  </w:style>
  <w:style w:type="character" w:customStyle="1" w:styleId="CommentSubjectChar">
    <w:name w:val="Comment Subject Char"/>
    <w:basedOn w:val="CommentTextChar"/>
    <w:link w:val="CommentSubject"/>
    <w:uiPriority w:val="99"/>
    <w:semiHidden/>
    <w:rsid w:val="00F6647C"/>
    <w:rPr>
      <w:rFonts w:ascii="Times New Roman" w:hAnsi="Times New Roman"/>
      <w:b/>
      <w:bCs/>
    </w:rPr>
  </w:style>
  <w:style w:type="paragraph" w:styleId="BalloonText">
    <w:name w:val="Balloon Text"/>
    <w:basedOn w:val="Normal"/>
    <w:link w:val="BalloonTextChar"/>
    <w:uiPriority w:val="99"/>
    <w:semiHidden/>
    <w:unhideWhenUsed/>
    <w:rsid w:val="00F66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47C"/>
    <w:rPr>
      <w:rFonts w:ascii="Segoe UI" w:hAnsi="Segoe UI" w:cs="Segoe UI"/>
      <w:sz w:val="18"/>
      <w:szCs w:val="18"/>
    </w:rPr>
  </w:style>
  <w:style w:type="paragraph" w:styleId="EndnoteText">
    <w:name w:val="endnote text"/>
    <w:basedOn w:val="Normal"/>
    <w:link w:val="EndnoteTextChar"/>
    <w:uiPriority w:val="99"/>
    <w:semiHidden/>
    <w:unhideWhenUsed/>
    <w:rsid w:val="00F93CC0"/>
  </w:style>
  <w:style w:type="character" w:customStyle="1" w:styleId="EndnoteTextChar">
    <w:name w:val="Endnote Text Char"/>
    <w:basedOn w:val="DefaultParagraphFont"/>
    <w:link w:val="EndnoteText"/>
    <w:uiPriority w:val="99"/>
    <w:semiHidden/>
    <w:rsid w:val="00F93CC0"/>
    <w:rPr>
      <w:rFonts w:ascii="Times New Roman" w:hAnsi="Times New Roman"/>
    </w:rPr>
  </w:style>
  <w:style w:type="character" w:styleId="EndnoteReference">
    <w:name w:val="endnote reference"/>
    <w:basedOn w:val="DefaultParagraphFont"/>
    <w:uiPriority w:val="99"/>
    <w:semiHidden/>
    <w:unhideWhenUsed/>
    <w:rsid w:val="00F93CC0"/>
    <w:rPr>
      <w:vertAlign w:val="superscript"/>
    </w:rPr>
  </w:style>
  <w:style w:type="character" w:styleId="Hyperlink">
    <w:name w:val="Hyperlink"/>
    <w:basedOn w:val="DefaultParagraphFont"/>
    <w:uiPriority w:val="99"/>
    <w:unhideWhenUsed/>
    <w:rsid w:val="00F95A7F"/>
    <w:rPr>
      <w:color w:val="0563C1" w:themeColor="hyperlink"/>
      <w:u w:val="single"/>
    </w:rPr>
  </w:style>
  <w:style w:type="character" w:styleId="UnresolvedMention">
    <w:name w:val="Unresolved Mention"/>
    <w:basedOn w:val="DefaultParagraphFont"/>
    <w:uiPriority w:val="99"/>
    <w:semiHidden/>
    <w:unhideWhenUsed/>
    <w:rsid w:val="00F95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590">
      <w:bodyDiv w:val="1"/>
      <w:marLeft w:val="0"/>
      <w:marRight w:val="0"/>
      <w:marTop w:val="0"/>
      <w:marBottom w:val="0"/>
      <w:divBdr>
        <w:top w:val="none" w:sz="0" w:space="0" w:color="auto"/>
        <w:left w:val="none" w:sz="0" w:space="0" w:color="auto"/>
        <w:bottom w:val="none" w:sz="0" w:space="0" w:color="auto"/>
        <w:right w:val="none" w:sz="0" w:space="0" w:color="auto"/>
      </w:divBdr>
      <w:divsChild>
        <w:div w:id="2136752613">
          <w:marLeft w:val="0"/>
          <w:marRight w:val="0"/>
          <w:marTop w:val="0"/>
          <w:marBottom w:val="0"/>
          <w:divBdr>
            <w:top w:val="none" w:sz="0" w:space="0" w:color="auto"/>
            <w:left w:val="none" w:sz="0" w:space="0" w:color="auto"/>
            <w:bottom w:val="none" w:sz="0" w:space="0" w:color="auto"/>
            <w:right w:val="none" w:sz="0" w:space="0" w:color="auto"/>
          </w:divBdr>
        </w:div>
      </w:divsChild>
    </w:div>
    <w:div w:id="124812439">
      <w:bodyDiv w:val="1"/>
      <w:marLeft w:val="0"/>
      <w:marRight w:val="0"/>
      <w:marTop w:val="0"/>
      <w:marBottom w:val="0"/>
      <w:divBdr>
        <w:top w:val="none" w:sz="0" w:space="0" w:color="auto"/>
        <w:left w:val="none" w:sz="0" w:space="0" w:color="auto"/>
        <w:bottom w:val="none" w:sz="0" w:space="0" w:color="auto"/>
        <w:right w:val="none" w:sz="0" w:space="0" w:color="auto"/>
      </w:divBdr>
      <w:divsChild>
        <w:div w:id="1221869135">
          <w:marLeft w:val="0"/>
          <w:marRight w:val="0"/>
          <w:marTop w:val="0"/>
          <w:marBottom w:val="0"/>
          <w:divBdr>
            <w:top w:val="none" w:sz="0" w:space="0" w:color="auto"/>
            <w:left w:val="none" w:sz="0" w:space="0" w:color="auto"/>
            <w:bottom w:val="none" w:sz="0" w:space="0" w:color="auto"/>
            <w:right w:val="none" w:sz="0" w:space="0" w:color="auto"/>
          </w:divBdr>
        </w:div>
      </w:divsChild>
    </w:div>
    <w:div w:id="348878585">
      <w:bodyDiv w:val="1"/>
      <w:marLeft w:val="0"/>
      <w:marRight w:val="0"/>
      <w:marTop w:val="0"/>
      <w:marBottom w:val="0"/>
      <w:divBdr>
        <w:top w:val="none" w:sz="0" w:space="0" w:color="auto"/>
        <w:left w:val="none" w:sz="0" w:space="0" w:color="auto"/>
        <w:bottom w:val="none" w:sz="0" w:space="0" w:color="auto"/>
        <w:right w:val="none" w:sz="0" w:space="0" w:color="auto"/>
      </w:divBdr>
      <w:divsChild>
        <w:div w:id="991567918">
          <w:marLeft w:val="0"/>
          <w:marRight w:val="0"/>
          <w:marTop w:val="0"/>
          <w:marBottom w:val="0"/>
          <w:divBdr>
            <w:top w:val="none" w:sz="0" w:space="0" w:color="auto"/>
            <w:left w:val="none" w:sz="0" w:space="0" w:color="auto"/>
            <w:bottom w:val="none" w:sz="0" w:space="0" w:color="auto"/>
            <w:right w:val="none" w:sz="0" w:space="0" w:color="auto"/>
          </w:divBdr>
        </w:div>
      </w:divsChild>
    </w:div>
    <w:div w:id="496920729">
      <w:bodyDiv w:val="1"/>
      <w:marLeft w:val="0"/>
      <w:marRight w:val="0"/>
      <w:marTop w:val="0"/>
      <w:marBottom w:val="0"/>
      <w:divBdr>
        <w:top w:val="none" w:sz="0" w:space="0" w:color="auto"/>
        <w:left w:val="none" w:sz="0" w:space="0" w:color="auto"/>
        <w:bottom w:val="none" w:sz="0" w:space="0" w:color="auto"/>
        <w:right w:val="none" w:sz="0" w:space="0" w:color="auto"/>
      </w:divBdr>
      <w:divsChild>
        <w:div w:id="1202598806">
          <w:marLeft w:val="0"/>
          <w:marRight w:val="0"/>
          <w:marTop w:val="0"/>
          <w:marBottom w:val="0"/>
          <w:divBdr>
            <w:top w:val="none" w:sz="0" w:space="0" w:color="auto"/>
            <w:left w:val="none" w:sz="0" w:space="0" w:color="auto"/>
            <w:bottom w:val="none" w:sz="0" w:space="0" w:color="auto"/>
            <w:right w:val="none" w:sz="0" w:space="0" w:color="auto"/>
          </w:divBdr>
        </w:div>
      </w:divsChild>
    </w:div>
    <w:div w:id="509297989">
      <w:bodyDiv w:val="1"/>
      <w:marLeft w:val="0"/>
      <w:marRight w:val="0"/>
      <w:marTop w:val="0"/>
      <w:marBottom w:val="0"/>
      <w:divBdr>
        <w:top w:val="none" w:sz="0" w:space="0" w:color="auto"/>
        <w:left w:val="none" w:sz="0" w:space="0" w:color="auto"/>
        <w:bottom w:val="none" w:sz="0" w:space="0" w:color="auto"/>
        <w:right w:val="none" w:sz="0" w:space="0" w:color="auto"/>
      </w:divBdr>
      <w:divsChild>
        <w:div w:id="1712462287">
          <w:marLeft w:val="0"/>
          <w:marRight w:val="0"/>
          <w:marTop w:val="0"/>
          <w:marBottom w:val="0"/>
          <w:divBdr>
            <w:top w:val="none" w:sz="0" w:space="0" w:color="auto"/>
            <w:left w:val="none" w:sz="0" w:space="0" w:color="auto"/>
            <w:bottom w:val="none" w:sz="0" w:space="0" w:color="auto"/>
            <w:right w:val="none" w:sz="0" w:space="0" w:color="auto"/>
          </w:divBdr>
        </w:div>
      </w:divsChild>
    </w:div>
    <w:div w:id="873155693">
      <w:bodyDiv w:val="1"/>
      <w:marLeft w:val="0"/>
      <w:marRight w:val="0"/>
      <w:marTop w:val="0"/>
      <w:marBottom w:val="0"/>
      <w:divBdr>
        <w:top w:val="none" w:sz="0" w:space="0" w:color="auto"/>
        <w:left w:val="none" w:sz="0" w:space="0" w:color="auto"/>
        <w:bottom w:val="none" w:sz="0" w:space="0" w:color="auto"/>
        <w:right w:val="none" w:sz="0" w:space="0" w:color="auto"/>
      </w:divBdr>
      <w:divsChild>
        <w:div w:id="1945264143">
          <w:marLeft w:val="0"/>
          <w:marRight w:val="0"/>
          <w:marTop w:val="0"/>
          <w:marBottom w:val="0"/>
          <w:divBdr>
            <w:top w:val="none" w:sz="0" w:space="0" w:color="auto"/>
            <w:left w:val="none" w:sz="0" w:space="0" w:color="auto"/>
            <w:bottom w:val="none" w:sz="0" w:space="0" w:color="auto"/>
            <w:right w:val="none" w:sz="0" w:space="0" w:color="auto"/>
          </w:divBdr>
        </w:div>
      </w:divsChild>
    </w:div>
    <w:div w:id="909774242">
      <w:bodyDiv w:val="1"/>
      <w:marLeft w:val="0"/>
      <w:marRight w:val="0"/>
      <w:marTop w:val="0"/>
      <w:marBottom w:val="0"/>
      <w:divBdr>
        <w:top w:val="none" w:sz="0" w:space="0" w:color="auto"/>
        <w:left w:val="none" w:sz="0" w:space="0" w:color="auto"/>
        <w:bottom w:val="none" w:sz="0" w:space="0" w:color="auto"/>
        <w:right w:val="none" w:sz="0" w:space="0" w:color="auto"/>
      </w:divBdr>
      <w:divsChild>
        <w:div w:id="1824546667">
          <w:marLeft w:val="0"/>
          <w:marRight w:val="0"/>
          <w:marTop w:val="0"/>
          <w:marBottom w:val="0"/>
          <w:divBdr>
            <w:top w:val="none" w:sz="0" w:space="0" w:color="auto"/>
            <w:left w:val="none" w:sz="0" w:space="0" w:color="auto"/>
            <w:bottom w:val="none" w:sz="0" w:space="0" w:color="auto"/>
            <w:right w:val="none" w:sz="0" w:space="0" w:color="auto"/>
          </w:divBdr>
        </w:div>
      </w:divsChild>
    </w:div>
    <w:div w:id="1146439162">
      <w:bodyDiv w:val="1"/>
      <w:marLeft w:val="0"/>
      <w:marRight w:val="0"/>
      <w:marTop w:val="0"/>
      <w:marBottom w:val="0"/>
      <w:divBdr>
        <w:top w:val="none" w:sz="0" w:space="0" w:color="auto"/>
        <w:left w:val="none" w:sz="0" w:space="0" w:color="auto"/>
        <w:bottom w:val="none" w:sz="0" w:space="0" w:color="auto"/>
        <w:right w:val="none" w:sz="0" w:space="0" w:color="auto"/>
      </w:divBdr>
      <w:divsChild>
        <w:div w:id="354102">
          <w:marLeft w:val="0"/>
          <w:marRight w:val="0"/>
          <w:marTop w:val="0"/>
          <w:marBottom w:val="0"/>
          <w:divBdr>
            <w:top w:val="none" w:sz="0" w:space="0" w:color="auto"/>
            <w:left w:val="none" w:sz="0" w:space="0" w:color="auto"/>
            <w:bottom w:val="none" w:sz="0" w:space="0" w:color="auto"/>
            <w:right w:val="none" w:sz="0" w:space="0" w:color="auto"/>
          </w:divBdr>
        </w:div>
        <w:div w:id="1495027642">
          <w:marLeft w:val="0"/>
          <w:marRight w:val="0"/>
          <w:marTop w:val="0"/>
          <w:marBottom w:val="0"/>
          <w:divBdr>
            <w:top w:val="none" w:sz="0" w:space="0" w:color="auto"/>
            <w:left w:val="none" w:sz="0" w:space="0" w:color="auto"/>
            <w:bottom w:val="none" w:sz="0" w:space="0" w:color="auto"/>
            <w:right w:val="none" w:sz="0" w:space="0" w:color="auto"/>
          </w:divBdr>
          <w:divsChild>
            <w:div w:id="977610707">
              <w:marLeft w:val="0"/>
              <w:marRight w:val="0"/>
              <w:marTop w:val="0"/>
              <w:marBottom w:val="0"/>
              <w:divBdr>
                <w:top w:val="none" w:sz="0" w:space="0" w:color="auto"/>
                <w:left w:val="none" w:sz="0" w:space="0" w:color="auto"/>
                <w:bottom w:val="none" w:sz="0" w:space="0" w:color="auto"/>
                <w:right w:val="none" w:sz="0" w:space="0" w:color="auto"/>
              </w:divBdr>
            </w:div>
          </w:divsChild>
        </w:div>
        <w:div w:id="777603396">
          <w:marLeft w:val="0"/>
          <w:marRight w:val="0"/>
          <w:marTop w:val="0"/>
          <w:marBottom w:val="0"/>
          <w:divBdr>
            <w:top w:val="none" w:sz="0" w:space="0" w:color="auto"/>
            <w:left w:val="none" w:sz="0" w:space="0" w:color="auto"/>
            <w:bottom w:val="none" w:sz="0" w:space="0" w:color="auto"/>
            <w:right w:val="none" w:sz="0" w:space="0" w:color="auto"/>
          </w:divBdr>
          <w:divsChild>
            <w:div w:id="6493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806">
      <w:bodyDiv w:val="1"/>
      <w:marLeft w:val="0"/>
      <w:marRight w:val="0"/>
      <w:marTop w:val="0"/>
      <w:marBottom w:val="0"/>
      <w:divBdr>
        <w:top w:val="none" w:sz="0" w:space="0" w:color="auto"/>
        <w:left w:val="none" w:sz="0" w:space="0" w:color="auto"/>
        <w:bottom w:val="none" w:sz="0" w:space="0" w:color="auto"/>
        <w:right w:val="none" w:sz="0" w:space="0" w:color="auto"/>
      </w:divBdr>
      <w:divsChild>
        <w:div w:id="32965397">
          <w:marLeft w:val="0"/>
          <w:marRight w:val="0"/>
          <w:marTop w:val="0"/>
          <w:marBottom w:val="0"/>
          <w:divBdr>
            <w:top w:val="none" w:sz="0" w:space="0" w:color="auto"/>
            <w:left w:val="none" w:sz="0" w:space="0" w:color="auto"/>
            <w:bottom w:val="none" w:sz="0" w:space="0" w:color="auto"/>
            <w:right w:val="none" w:sz="0" w:space="0" w:color="auto"/>
          </w:divBdr>
        </w:div>
      </w:divsChild>
    </w:div>
    <w:div w:id="1433629626">
      <w:bodyDiv w:val="1"/>
      <w:marLeft w:val="0"/>
      <w:marRight w:val="0"/>
      <w:marTop w:val="0"/>
      <w:marBottom w:val="0"/>
      <w:divBdr>
        <w:top w:val="none" w:sz="0" w:space="0" w:color="auto"/>
        <w:left w:val="none" w:sz="0" w:space="0" w:color="auto"/>
        <w:bottom w:val="none" w:sz="0" w:space="0" w:color="auto"/>
        <w:right w:val="none" w:sz="0" w:space="0" w:color="auto"/>
      </w:divBdr>
      <w:divsChild>
        <w:div w:id="755397465">
          <w:marLeft w:val="0"/>
          <w:marRight w:val="0"/>
          <w:marTop w:val="0"/>
          <w:marBottom w:val="0"/>
          <w:divBdr>
            <w:top w:val="none" w:sz="0" w:space="0" w:color="auto"/>
            <w:left w:val="none" w:sz="0" w:space="0" w:color="auto"/>
            <w:bottom w:val="none" w:sz="0" w:space="0" w:color="auto"/>
            <w:right w:val="none" w:sz="0" w:space="0" w:color="auto"/>
          </w:divBdr>
        </w:div>
      </w:divsChild>
    </w:div>
    <w:div w:id="1872182732">
      <w:bodyDiv w:val="1"/>
      <w:marLeft w:val="0"/>
      <w:marRight w:val="0"/>
      <w:marTop w:val="0"/>
      <w:marBottom w:val="0"/>
      <w:divBdr>
        <w:top w:val="none" w:sz="0" w:space="0" w:color="auto"/>
        <w:left w:val="none" w:sz="0" w:space="0" w:color="auto"/>
        <w:bottom w:val="none" w:sz="0" w:space="0" w:color="auto"/>
        <w:right w:val="none" w:sz="0" w:space="0" w:color="auto"/>
      </w:divBdr>
      <w:divsChild>
        <w:div w:id="1190218250">
          <w:marLeft w:val="0"/>
          <w:marRight w:val="0"/>
          <w:marTop w:val="0"/>
          <w:marBottom w:val="0"/>
          <w:divBdr>
            <w:top w:val="none" w:sz="0" w:space="0" w:color="auto"/>
            <w:left w:val="none" w:sz="0" w:space="0" w:color="auto"/>
            <w:bottom w:val="none" w:sz="0" w:space="0" w:color="auto"/>
            <w:right w:val="none" w:sz="0" w:space="0" w:color="auto"/>
          </w:divBdr>
        </w:div>
      </w:divsChild>
    </w:div>
    <w:div w:id="1930385723">
      <w:bodyDiv w:val="1"/>
      <w:marLeft w:val="0"/>
      <w:marRight w:val="0"/>
      <w:marTop w:val="0"/>
      <w:marBottom w:val="0"/>
      <w:divBdr>
        <w:top w:val="none" w:sz="0" w:space="0" w:color="auto"/>
        <w:left w:val="none" w:sz="0" w:space="0" w:color="auto"/>
        <w:bottom w:val="none" w:sz="0" w:space="0" w:color="auto"/>
        <w:right w:val="none" w:sz="0" w:space="0" w:color="auto"/>
      </w:divBdr>
      <w:divsChild>
        <w:div w:id="1166825241">
          <w:marLeft w:val="0"/>
          <w:marRight w:val="0"/>
          <w:marTop w:val="0"/>
          <w:marBottom w:val="0"/>
          <w:divBdr>
            <w:top w:val="none" w:sz="0" w:space="0" w:color="auto"/>
            <w:left w:val="none" w:sz="0" w:space="0" w:color="auto"/>
            <w:bottom w:val="none" w:sz="0" w:space="0" w:color="auto"/>
            <w:right w:val="none" w:sz="0" w:space="0" w:color="auto"/>
          </w:divBdr>
        </w:div>
      </w:divsChild>
    </w:div>
    <w:div w:id="2060594521">
      <w:bodyDiv w:val="1"/>
      <w:marLeft w:val="0"/>
      <w:marRight w:val="0"/>
      <w:marTop w:val="0"/>
      <w:marBottom w:val="0"/>
      <w:divBdr>
        <w:top w:val="none" w:sz="0" w:space="0" w:color="auto"/>
        <w:left w:val="none" w:sz="0" w:space="0" w:color="auto"/>
        <w:bottom w:val="none" w:sz="0" w:space="0" w:color="auto"/>
        <w:right w:val="none" w:sz="0" w:space="0" w:color="auto"/>
      </w:divBdr>
      <w:divsChild>
        <w:div w:id="19034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524BB-69AB-4332-A8ED-897E4872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Pages>
  <Words>1226</Words>
  <Characters>6306</Characters>
  <Application>Microsoft Office Word</Application>
  <DocSecurity>0</DocSecurity>
  <Lines>114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Bill Donnino</cp:lastModifiedBy>
  <cp:revision>285</cp:revision>
  <cp:lastPrinted>2024-01-07T20:35:00Z</cp:lastPrinted>
  <dcterms:created xsi:type="dcterms:W3CDTF">2023-01-23T21:42:00Z</dcterms:created>
  <dcterms:modified xsi:type="dcterms:W3CDTF">2024-01-07T20:35:00Z</dcterms:modified>
</cp:coreProperties>
</file>