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CC58" w14:textId="67A17DE6" w:rsidR="002F07FE" w:rsidRPr="007641DE" w:rsidRDefault="002F07FE" w:rsidP="001560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7641DE">
        <w:rPr>
          <w:sz w:val="28"/>
          <w:szCs w:val="28"/>
          <w:lang w:val="en-CA"/>
        </w:rPr>
        <w:fldChar w:fldCharType="begin"/>
      </w:r>
      <w:r w:rsidRPr="007641DE">
        <w:rPr>
          <w:sz w:val="28"/>
          <w:szCs w:val="28"/>
          <w:lang w:val="en-CA"/>
        </w:rPr>
        <w:instrText xml:space="preserve"> SEQ CHAPTER \h \r 1</w:instrText>
      </w:r>
      <w:r w:rsidRPr="007641DE">
        <w:rPr>
          <w:sz w:val="28"/>
          <w:szCs w:val="28"/>
          <w:lang w:val="en-CA"/>
        </w:rPr>
        <w:fldChar w:fldCharType="end"/>
      </w:r>
      <w:r w:rsidRPr="007641DE">
        <w:rPr>
          <w:b/>
          <w:bCs/>
          <w:sz w:val="28"/>
          <w:szCs w:val="28"/>
        </w:rPr>
        <w:t>2.01 Judicial Notice of Facts</w:t>
      </w:r>
      <w:r w:rsidR="00E32770" w:rsidRPr="007641DE">
        <w:rPr>
          <w:rStyle w:val="EndnoteReference"/>
          <w:b/>
          <w:bCs/>
          <w:sz w:val="28"/>
          <w:szCs w:val="28"/>
        </w:rPr>
        <w:endnoteReference w:id="1"/>
      </w:r>
    </w:p>
    <w:p w14:paraId="4D8C347E" w14:textId="77777777" w:rsidR="002F07FE" w:rsidRPr="007641DE" w:rsidRDefault="002F07FE" w:rsidP="001560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8"/>
          <w:szCs w:val="28"/>
        </w:rPr>
      </w:pPr>
    </w:p>
    <w:p w14:paraId="16C6AE87" w14:textId="77777777" w:rsidR="002F07FE" w:rsidRPr="007641DE" w:rsidRDefault="002F07FE" w:rsidP="0015606B">
      <w:pPr>
        <w:pStyle w:val="L2-1"/>
        <w:widowControl/>
        <w:numPr>
          <w:ilvl w:val="0"/>
          <w:numId w:val="1"/>
        </w:numPr>
        <w:tabs>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7641DE">
        <w:rPr>
          <w:b/>
          <w:bCs/>
          <w:sz w:val="28"/>
          <w:szCs w:val="28"/>
        </w:rPr>
        <w:t xml:space="preserve"> Judicial notice of a fact as used in this rule means a court’s declaration of the existence of a fact normally decided by the trier of fact, without requiring proof of that fact.</w:t>
      </w:r>
    </w:p>
    <w:p w14:paraId="5F2221F8" w14:textId="77777777" w:rsidR="002F07FE" w:rsidRPr="007641DE" w:rsidRDefault="002F07FE" w:rsidP="0015606B">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rPr>
          <w:rFonts w:ascii="Times New Roman" w:hAnsi="Times New Roman" w:cs="Times New Roman"/>
          <w:b/>
          <w:bCs/>
          <w:sz w:val="28"/>
          <w:szCs w:val="28"/>
        </w:rPr>
      </w:pPr>
    </w:p>
    <w:p w14:paraId="5C8DA0C1" w14:textId="77777777" w:rsidR="00407B88" w:rsidRPr="007641DE" w:rsidRDefault="002F07FE" w:rsidP="0015606B">
      <w:pPr>
        <w:pStyle w:val="L2-1"/>
        <w:widowControl/>
        <w:numPr>
          <w:ilvl w:val="0"/>
          <w:numId w:val="1"/>
        </w:numPr>
        <w:tabs>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7641DE">
        <w:rPr>
          <w:b/>
          <w:bCs/>
          <w:sz w:val="28"/>
          <w:szCs w:val="28"/>
        </w:rPr>
        <w:t xml:space="preserve"> Facts that may be judicially noticed are: (a) facts of such common knowledge within the community where the court sits that they cannot reasonably be the subject of dispute; (b) facts that are capable of accurate and ready determination by resort to sources whose accuracy cannot reasonably be questioned; and (c) certain facts contained in undisputed records of a court, such as prior orders or kindred documents, which would not otherwise be inadmissible. </w:t>
      </w:r>
    </w:p>
    <w:p w14:paraId="54D3C388" w14:textId="77777777" w:rsidR="001F5BBD" w:rsidRPr="007641DE" w:rsidRDefault="001F5BBD" w:rsidP="0015606B">
      <w:pPr>
        <w:rPr>
          <w:b/>
          <w:bCs/>
          <w:sz w:val="28"/>
          <w:szCs w:val="28"/>
        </w:rPr>
      </w:pPr>
    </w:p>
    <w:p w14:paraId="276B276A" w14:textId="299413BE" w:rsidR="001F5BBD" w:rsidRPr="007641DE" w:rsidRDefault="001F5BBD" w:rsidP="0015606B">
      <w:pPr>
        <w:pStyle w:val="L2-1"/>
        <w:widowControl/>
        <w:numPr>
          <w:ilvl w:val="0"/>
          <w:numId w:val="1"/>
        </w:numPr>
        <w:tabs>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7641DE">
        <w:rPr>
          <w:b/>
          <w:bCs/>
          <w:sz w:val="28"/>
          <w:szCs w:val="28"/>
        </w:rPr>
        <w:t xml:space="preserve"> </w:t>
      </w:r>
      <w:r w:rsidR="00A47F19" w:rsidRPr="007641DE">
        <w:rPr>
          <w:b/>
          <w:bCs/>
          <w:sz w:val="28"/>
          <w:szCs w:val="28"/>
        </w:rPr>
        <w:t>A court may take judicial notice of a fact, whether requested or not.</w:t>
      </w:r>
    </w:p>
    <w:p w14:paraId="6F7A5A04" w14:textId="77777777" w:rsidR="002F07FE" w:rsidRPr="007641DE" w:rsidRDefault="002F07FE" w:rsidP="0015606B">
      <w:pPr>
        <w:pStyle w:val="ListParagra"/>
        <w:widowControl/>
        <w:numPr>
          <w:ilvl w:val="12"/>
          <w:numId w:val="0"/>
        </w:numPr>
        <w:tabs>
          <w:tab w:val="left" w:pos="2160"/>
          <w:tab w:val="left" w:pos="2880"/>
          <w:tab w:val="left" w:pos="3600"/>
          <w:tab w:val="left" w:pos="4320"/>
          <w:tab w:val="left" w:pos="5040"/>
          <w:tab w:val="left" w:pos="5760"/>
          <w:tab w:val="left" w:pos="6480"/>
          <w:tab w:val="left" w:pos="7200"/>
          <w:tab w:val="left" w:pos="7918"/>
        </w:tabs>
        <w:spacing w:after="0" w:line="240" w:lineRule="auto"/>
        <w:rPr>
          <w:rFonts w:ascii="Times New Roman" w:hAnsi="Times New Roman" w:cs="Times New Roman"/>
          <w:b/>
          <w:bCs/>
          <w:sz w:val="28"/>
          <w:szCs w:val="28"/>
        </w:rPr>
      </w:pPr>
    </w:p>
    <w:p w14:paraId="43DC334E" w14:textId="31C57870" w:rsidR="002F07FE" w:rsidRPr="007641DE" w:rsidRDefault="002F07FE" w:rsidP="0015606B">
      <w:pPr>
        <w:pStyle w:val="L2-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7641DE">
        <w:rPr>
          <w:b/>
          <w:bCs/>
          <w:sz w:val="28"/>
          <w:szCs w:val="28"/>
        </w:rPr>
        <w:t xml:space="preserve"> A party is entitled to an opportunity to be heard on whether a court should take judicial notice</w:t>
      </w:r>
      <w:r w:rsidR="00786E07" w:rsidRPr="007641DE">
        <w:rPr>
          <w:b/>
          <w:bCs/>
          <w:sz w:val="28"/>
          <w:szCs w:val="28"/>
        </w:rPr>
        <w:t xml:space="preserve">. </w:t>
      </w:r>
      <w:r w:rsidRPr="007641DE">
        <w:rPr>
          <w:b/>
          <w:bCs/>
          <w:sz w:val="28"/>
          <w:szCs w:val="28"/>
        </w:rPr>
        <w:t>In the absence of prior notification, a party shall, upon request, be given an opportunity to be heard after judicial notice has been taken.</w:t>
      </w:r>
    </w:p>
    <w:p w14:paraId="71A907E2" w14:textId="77777777" w:rsidR="002F07FE" w:rsidRPr="007641DE" w:rsidRDefault="002F07FE" w:rsidP="0015606B">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jc w:val="left"/>
        <w:rPr>
          <w:rFonts w:ascii="Times New Roman" w:hAnsi="Times New Roman" w:cs="Times New Roman"/>
          <w:b/>
          <w:bCs/>
          <w:sz w:val="28"/>
          <w:szCs w:val="28"/>
        </w:rPr>
      </w:pPr>
    </w:p>
    <w:p w14:paraId="7CA04D0D" w14:textId="2B4E2856" w:rsidR="002F07FE" w:rsidRPr="007641DE" w:rsidRDefault="002F07FE" w:rsidP="0015606B">
      <w:pPr>
        <w:pStyle w:val="L2-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7641DE">
        <w:rPr>
          <w:b/>
          <w:bCs/>
          <w:sz w:val="28"/>
          <w:szCs w:val="28"/>
        </w:rPr>
        <w:t xml:space="preserve"> Judicial notice may be taken at any stage of a hearing, trial, </w:t>
      </w:r>
      <w:r w:rsidR="00433B2D" w:rsidRPr="007641DE">
        <w:rPr>
          <w:b/>
          <w:bCs/>
          <w:sz w:val="28"/>
          <w:szCs w:val="28"/>
        </w:rPr>
        <w:t xml:space="preserve">appeal, </w:t>
      </w:r>
      <w:r w:rsidRPr="007641DE">
        <w:rPr>
          <w:b/>
          <w:bCs/>
          <w:sz w:val="28"/>
          <w:szCs w:val="28"/>
        </w:rPr>
        <w:t>or other proceeding.</w:t>
      </w:r>
    </w:p>
    <w:p w14:paraId="2CB8F7EA" w14:textId="77777777" w:rsidR="002F07FE" w:rsidRPr="007641DE" w:rsidRDefault="002F07FE" w:rsidP="0015606B">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jc w:val="left"/>
        <w:rPr>
          <w:rFonts w:ascii="Times New Roman" w:hAnsi="Times New Roman" w:cs="Times New Roman"/>
          <w:b/>
          <w:bCs/>
          <w:sz w:val="28"/>
          <w:szCs w:val="28"/>
        </w:rPr>
      </w:pPr>
    </w:p>
    <w:p w14:paraId="4F0BA027" w14:textId="6F551D45" w:rsidR="002F07FE" w:rsidRPr="007641DE" w:rsidRDefault="002F07FE" w:rsidP="0015606B">
      <w:pPr>
        <w:pStyle w:val="L2-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7641DE">
        <w:rPr>
          <w:b/>
          <w:bCs/>
          <w:sz w:val="28"/>
          <w:szCs w:val="28"/>
        </w:rPr>
        <w:t xml:space="preserve"> In determining the propriety of taking judicial notice of a fact</w:t>
      </w:r>
      <w:r w:rsidR="00BE7B0A" w:rsidRPr="007641DE">
        <w:rPr>
          <w:b/>
          <w:bCs/>
          <w:sz w:val="28"/>
          <w:szCs w:val="28"/>
        </w:rPr>
        <w:t xml:space="preserve"> pursuant to subdivision </w:t>
      </w:r>
      <w:r w:rsidR="00B013D3" w:rsidRPr="007641DE">
        <w:rPr>
          <w:b/>
          <w:bCs/>
          <w:sz w:val="28"/>
          <w:szCs w:val="28"/>
        </w:rPr>
        <w:t>two</w:t>
      </w:r>
      <w:r w:rsidRPr="007641DE">
        <w:rPr>
          <w:b/>
          <w:bCs/>
          <w:sz w:val="28"/>
          <w:szCs w:val="28"/>
        </w:rPr>
        <w:t xml:space="preserve">, any source of relevant information may be consulted or used, </w:t>
      </w:r>
      <w:proofErr w:type="gramStart"/>
      <w:r w:rsidRPr="007641DE">
        <w:rPr>
          <w:b/>
          <w:bCs/>
          <w:sz w:val="28"/>
          <w:szCs w:val="28"/>
        </w:rPr>
        <w:t>whether or not</w:t>
      </w:r>
      <w:proofErr w:type="gramEnd"/>
      <w:r w:rsidRPr="007641DE">
        <w:rPr>
          <w:b/>
          <w:bCs/>
          <w:sz w:val="28"/>
          <w:szCs w:val="28"/>
        </w:rPr>
        <w:t xml:space="preserve"> furnished by a party, and the rules of evidence shall not apply except for privilege.</w:t>
      </w:r>
    </w:p>
    <w:p w14:paraId="14216BA3" w14:textId="77777777" w:rsidR="00E408C1" w:rsidRPr="007641DE" w:rsidRDefault="00E408C1" w:rsidP="0015606B">
      <w:pPr>
        <w:pStyle w:val="ListParagraph"/>
        <w:ind w:left="0"/>
        <w:rPr>
          <w:b/>
          <w:bCs/>
          <w:sz w:val="28"/>
          <w:szCs w:val="28"/>
        </w:rPr>
      </w:pPr>
    </w:p>
    <w:p w14:paraId="5C286116" w14:textId="290CB4CB" w:rsidR="00E408C1" w:rsidRPr="007641DE" w:rsidRDefault="00E408C1" w:rsidP="0015606B">
      <w:pPr>
        <w:pStyle w:val="L2-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7641DE">
        <w:rPr>
          <w:b/>
          <w:bCs/>
          <w:sz w:val="28"/>
          <w:szCs w:val="28"/>
        </w:rPr>
        <w:t xml:space="preserve"> A judge may not take judicial notice of a fact based solely upon the judge’s own personal knowledge.</w:t>
      </w:r>
    </w:p>
    <w:p w14:paraId="5543A4FC" w14:textId="77777777" w:rsidR="00E32770" w:rsidRPr="007641DE" w:rsidRDefault="00E32770" w:rsidP="0015606B">
      <w:pPr>
        <w:widowControl/>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C6A8990" w14:textId="77777777" w:rsidR="009D3B6C" w:rsidRPr="007641DE" w:rsidRDefault="002F07FE" w:rsidP="001560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right="720"/>
        <w:jc w:val="center"/>
        <w:rPr>
          <w:b/>
          <w:bCs/>
          <w:sz w:val="24"/>
          <w:szCs w:val="24"/>
        </w:rPr>
      </w:pPr>
      <w:r w:rsidRPr="007641DE">
        <w:rPr>
          <w:b/>
          <w:bCs/>
          <w:sz w:val="24"/>
          <w:szCs w:val="24"/>
        </w:rPr>
        <w:t>N</w:t>
      </w:r>
      <w:r w:rsidR="009D3B6C" w:rsidRPr="007641DE">
        <w:rPr>
          <w:b/>
          <w:bCs/>
          <w:sz w:val="24"/>
          <w:szCs w:val="24"/>
        </w:rPr>
        <w:t>ote</w:t>
      </w:r>
    </w:p>
    <w:p w14:paraId="5E2C316D" w14:textId="77777777" w:rsidR="009D3B6C" w:rsidRPr="007641DE" w:rsidRDefault="009D3B6C" w:rsidP="001560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right="720"/>
        <w:jc w:val="both"/>
        <w:rPr>
          <w:b/>
          <w:bCs/>
          <w:sz w:val="24"/>
          <w:szCs w:val="24"/>
        </w:rPr>
      </w:pPr>
    </w:p>
    <w:p w14:paraId="607113D0" w14:textId="7AEB0F20" w:rsidR="002F07FE" w:rsidRPr="007641DE" w:rsidRDefault="009D3B6C" w:rsidP="001560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7641DE">
        <w:rPr>
          <w:sz w:val="24"/>
          <w:szCs w:val="24"/>
        </w:rPr>
        <w:lastRenderedPageBreak/>
        <w:tab/>
      </w:r>
      <w:r w:rsidR="002F07FE" w:rsidRPr="007641DE">
        <w:rPr>
          <w:sz w:val="24"/>
          <w:szCs w:val="24"/>
        </w:rPr>
        <w:t>The law governing judicial notice of facts has been developed exclusively under the common law</w:t>
      </w:r>
      <w:r w:rsidR="00786E07" w:rsidRPr="007641DE">
        <w:rPr>
          <w:sz w:val="24"/>
          <w:szCs w:val="24"/>
        </w:rPr>
        <w:t xml:space="preserve">. </w:t>
      </w:r>
      <w:r w:rsidR="002F07FE" w:rsidRPr="007641DE">
        <w:rPr>
          <w:sz w:val="24"/>
          <w:szCs w:val="24"/>
        </w:rPr>
        <w:t xml:space="preserve">This rule collates </w:t>
      </w:r>
      <w:r w:rsidRPr="007641DE">
        <w:rPr>
          <w:sz w:val="24"/>
          <w:szCs w:val="24"/>
        </w:rPr>
        <w:t>the common law.</w:t>
      </w:r>
    </w:p>
    <w:p w14:paraId="6D11FE02" w14:textId="77777777" w:rsidR="009D3B6C" w:rsidRPr="007641DE" w:rsidRDefault="009D3B6C" w:rsidP="001560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right="720"/>
        <w:jc w:val="both"/>
        <w:rPr>
          <w:sz w:val="24"/>
          <w:szCs w:val="24"/>
        </w:rPr>
      </w:pPr>
    </w:p>
    <w:p w14:paraId="664A7EB2" w14:textId="6E227748"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sz w:val="24"/>
          <w:szCs w:val="24"/>
        </w:rPr>
        <w:tab/>
      </w:r>
      <w:r w:rsidRPr="007641DE">
        <w:rPr>
          <w:b/>
          <w:bCs/>
          <w:sz w:val="24"/>
          <w:szCs w:val="24"/>
        </w:rPr>
        <w:t>Subdivision (1)</w:t>
      </w:r>
      <w:r w:rsidR="00786E07" w:rsidRPr="007641DE">
        <w:rPr>
          <w:bCs/>
          <w:sz w:val="24"/>
          <w:szCs w:val="24"/>
        </w:rPr>
        <w:t>.</w:t>
      </w:r>
      <w:r w:rsidR="00BA3922" w:rsidRPr="007641DE">
        <w:rPr>
          <w:bCs/>
          <w:sz w:val="24"/>
          <w:szCs w:val="24"/>
        </w:rPr>
        <w:t xml:space="preserve"> </w:t>
      </w:r>
      <w:r w:rsidRPr="007641DE">
        <w:rPr>
          <w:sz w:val="24"/>
          <w:szCs w:val="24"/>
        </w:rPr>
        <w:t>This subdivision governs only judicial notice of fact</w:t>
      </w:r>
      <w:r w:rsidR="00786E07" w:rsidRPr="007641DE">
        <w:rPr>
          <w:sz w:val="24"/>
          <w:szCs w:val="24"/>
        </w:rPr>
        <w:t xml:space="preserve">. </w:t>
      </w:r>
      <w:r w:rsidRPr="007641DE">
        <w:rPr>
          <w:sz w:val="24"/>
          <w:szCs w:val="24"/>
        </w:rPr>
        <w:t xml:space="preserve">Judicial notice of law is governed by </w:t>
      </w:r>
      <w:r w:rsidR="00BA3922" w:rsidRPr="007641DE">
        <w:rPr>
          <w:sz w:val="24"/>
          <w:szCs w:val="24"/>
        </w:rPr>
        <w:t xml:space="preserve">Guide to New York Evidence </w:t>
      </w:r>
      <w:r w:rsidRPr="007641DE">
        <w:rPr>
          <w:sz w:val="24"/>
          <w:szCs w:val="24"/>
        </w:rPr>
        <w:t>rule 2.0</w:t>
      </w:r>
      <w:r w:rsidR="00BA3922" w:rsidRPr="007641DE">
        <w:rPr>
          <w:sz w:val="24"/>
          <w:szCs w:val="24"/>
        </w:rPr>
        <w:t>3</w:t>
      </w:r>
      <w:r w:rsidRPr="007641DE">
        <w:rPr>
          <w:sz w:val="24"/>
          <w:szCs w:val="24"/>
        </w:rPr>
        <w:t>.</w:t>
      </w:r>
    </w:p>
    <w:p w14:paraId="52EB6920" w14:textId="77777777" w:rsidR="009D3B6C" w:rsidRPr="007641DE" w:rsidRDefault="009D3B6C"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C2CD122" w14:textId="7FAA2073"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b/>
          <w:bCs/>
          <w:sz w:val="24"/>
          <w:szCs w:val="24"/>
        </w:rPr>
        <w:tab/>
      </w:r>
      <w:r w:rsidRPr="007641DE">
        <w:rPr>
          <w:sz w:val="24"/>
          <w:szCs w:val="24"/>
        </w:rPr>
        <w:t xml:space="preserve">The definition of judicial notice of fact is derived from </w:t>
      </w:r>
      <w:r w:rsidRPr="007641DE">
        <w:rPr>
          <w:i/>
          <w:iCs/>
          <w:sz w:val="24"/>
          <w:szCs w:val="24"/>
        </w:rPr>
        <w:t>Wood v North W. Ins. Co.</w:t>
      </w:r>
      <w:r w:rsidRPr="007641DE">
        <w:rPr>
          <w:sz w:val="24"/>
          <w:szCs w:val="24"/>
        </w:rPr>
        <w:t xml:space="preserve"> (46 NY 421, 426 [1871] [“</w:t>
      </w:r>
      <w:r w:rsidR="00BA3922" w:rsidRPr="007641DE">
        <w:rPr>
          <w:sz w:val="24"/>
          <w:szCs w:val="24"/>
        </w:rPr>
        <w:t>(J)</w:t>
      </w:r>
      <w:proofErr w:type="spellStart"/>
      <w:r w:rsidRPr="007641DE">
        <w:rPr>
          <w:sz w:val="24"/>
          <w:szCs w:val="24"/>
        </w:rPr>
        <w:t>udicial</w:t>
      </w:r>
      <w:proofErr w:type="spellEnd"/>
      <w:r w:rsidRPr="007641DE">
        <w:rPr>
          <w:sz w:val="24"/>
          <w:szCs w:val="24"/>
        </w:rPr>
        <w:t xml:space="preserve"> notice comes in the place of proof</w:t>
      </w:r>
      <w:r w:rsidR="00786E07" w:rsidRPr="007641DE">
        <w:rPr>
          <w:sz w:val="24"/>
          <w:szCs w:val="24"/>
        </w:rPr>
        <w:t xml:space="preserve">. </w:t>
      </w:r>
      <w:r w:rsidRPr="007641DE">
        <w:rPr>
          <w:sz w:val="24"/>
          <w:szCs w:val="24"/>
        </w:rPr>
        <w:t>It is to be exercised by a tribunal, which has the power to pass upon the facts”]).</w:t>
      </w:r>
    </w:p>
    <w:p w14:paraId="4E5FDD64" w14:textId="77777777" w:rsidR="009D3B6C" w:rsidRPr="007641DE" w:rsidRDefault="009D3B6C"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EBD2F93" w14:textId="35EFBC6F"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sz w:val="24"/>
          <w:szCs w:val="24"/>
        </w:rPr>
        <w:tab/>
        <w:t>In a criminal trial, a trial court may not direct a verdict of guilty (</w:t>
      </w:r>
      <w:r w:rsidRPr="007641DE">
        <w:rPr>
          <w:i/>
          <w:iCs/>
          <w:sz w:val="24"/>
          <w:szCs w:val="24"/>
        </w:rPr>
        <w:t>People v Green</w:t>
      </w:r>
      <w:r w:rsidRPr="007641DE">
        <w:rPr>
          <w:sz w:val="24"/>
          <w:szCs w:val="24"/>
        </w:rPr>
        <w:t xml:space="preserve">, 35 NY2d 437, 442 [1974]; </w:t>
      </w:r>
      <w:r w:rsidRPr="007641DE">
        <w:rPr>
          <w:i/>
          <w:iCs/>
          <w:sz w:val="24"/>
          <w:szCs w:val="24"/>
        </w:rPr>
        <w:t>People v Walker</w:t>
      </w:r>
      <w:r w:rsidRPr="007641DE">
        <w:rPr>
          <w:sz w:val="24"/>
          <w:szCs w:val="24"/>
        </w:rPr>
        <w:t xml:space="preserve">, 198 NY 329, 334 [1910]; </w:t>
      </w:r>
      <w:r w:rsidRPr="007641DE">
        <w:rPr>
          <w:i/>
          <w:iCs/>
          <w:sz w:val="24"/>
          <w:szCs w:val="24"/>
        </w:rPr>
        <w:t>see also Sandstrom v Montana</w:t>
      </w:r>
      <w:r w:rsidRPr="007641DE">
        <w:rPr>
          <w:sz w:val="24"/>
          <w:szCs w:val="24"/>
        </w:rPr>
        <w:t>, 442 US 51</w:t>
      </w:r>
      <w:r w:rsidR="00BA3922" w:rsidRPr="007641DE">
        <w:rPr>
          <w:sz w:val="24"/>
          <w:szCs w:val="24"/>
        </w:rPr>
        <w:t>0</w:t>
      </w:r>
      <w:r w:rsidRPr="007641DE">
        <w:rPr>
          <w:sz w:val="24"/>
          <w:szCs w:val="24"/>
        </w:rPr>
        <w:t>, 516 n 5 [1979])</w:t>
      </w:r>
      <w:r w:rsidR="00786E07" w:rsidRPr="007641DE">
        <w:rPr>
          <w:sz w:val="24"/>
          <w:szCs w:val="24"/>
        </w:rPr>
        <w:t>.</w:t>
      </w:r>
      <w:r w:rsidR="00BA3922" w:rsidRPr="007641DE">
        <w:rPr>
          <w:sz w:val="24"/>
          <w:szCs w:val="24"/>
        </w:rPr>
        <w:t xml:space="preserve"> </w:t>
      </w:r>
      <w:r w:rsidR="00D13C15" w:rsidRPr="007641DE">
        <w:rPr>
          <w:sz w:val="24"/>
          <w:szCs w:val="24"/>
        </w:rPr>
        <w:t>Therefore,</w:t>
      </w:r>
      <w:r w:rsidRPr="007641DE">
        <w:rPr>
          <w:sz w:val="24"/>
          <w:szCs w:val="24"/>
        </w:rPr>
        <w:t xml:space="preserve"> a court may not employ judicial notice of a fact or facts to accomplish that result (</w:t>
      </w:r>
      <w:r w:rsidRPr="007641DE">
        <w:rPr>
          <w:i/>
          <w:iCs/>
          <w:sz w:val="24"/>
          <w:szCs w:val="24"/>
        </w:rPr>
        <w:t>cf. People v McKenzie</w:t>
      </w:r>
      <w:r w:rsidRPr="007641DE">
        <w:rPr>
          <w:sz w:val="24"/>
          <w:szCs w:val="24"/>
        </w:rPr>
        <w:t>, 67 NY2d 695</w:t>
      </w:r>
      <w:r w:rsidR="00BA3922" w:rsidRPr="007641DE">
        <w:rPr>
          <w:sz w:val="24"/>
          <w:szCs w:val="24"/>
        </w:rPr>
        <w:t xml:space="preserve"> </w:t>
      </w:r>
      <w:r w:rsidRPr="007641DE">
        <w:rPr>
          <w:sz w:val="24"/>
          <w:szCs w:val="24"/>
        </w:rPr>
        <w:t>[1986] [statutory presumptions in criminal cases are permissive]).</w:t>
      </w:r>
    </w:p>
    <w:p w14:paraId="4AD709F8" w14:textId="77777777" w:rsidR="009D3B6C" w:rsidRPr="007641DE" w:rsidRDefault="009D3B6C"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6A65AB1" w14:textId="5DBD7B59"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sz w:val="24"/>
          <w:szCs w:val="24"/>
        </w:rPr>
        <w:tab/>
      </w:r>
      <w:r w:rsidRPr="007641DE">
        <w:rPr>
          <w:b/>
          <w:bCs/>
          <w:sz w:val="24"/>
          <w:szCs w:val="24"/>
        </w:rPr>
        <w:t>Subdivision (2)</w:t>
      </w:r>
      <w:r w:rsidR="00786E07" w:rsidRPr="007641DE">
        <w:rPr>
          <w:bCs/>
          <w:sz w:val="24"/>
          <w:szCs w:val="24"/>
        </w:rPr>
        <w:t>.</w:t>
      </w:r>
      <w:r w:rsidR="00BA3922" w:rsidRPr="007641DE">
        <w:rPr>
          <w:b/>
          <w:bCs/>
          <w:sz w:val="24"/>
          <w:szCs w:val="24"/>
        </w:rPr>
        <w:t xml:space="preserve"> </w:t>
      </w:r>
      <w:r w:rsidRPr="007641DE">
        <w:rPr>
          <w:sz w:val="24"/>
          <w:szCs w:val="24"/>
        </w:rPr>
        <w:t xml:space="preserve">This subdivision sets forth three categories of facts, recognized by the Court of Appeals, </w:t>
      </w:r>
      <w:r w:rsidR="00252FDB" w:rsidRPr="007641DE">
        <w:rPr>
          <w:sz w:val="24"/>
          <w:szCs w:val="24"/>
        </w:rPr>
        <w:t>which</w:t>
      </w:r>
      <w:r w:rsidR="009D3B6C" w:rsidRPr="007641DE">
        <w:rPr>
          <w:sz w:val="24"/>
          <w:szCs w:val="24"/>
        </w:rPr>
        <w:t xml:space="preserve"> may be judicially noticed.</w:t>
      </w:r>
    </w:p>
    <w:p w14:paraId="26F20BD9" w14:textId="77777777" w:rsidR="009D3B6C" w:rsidRPr="007641DE" w:rsidRDefault="009D3B6C"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EBD4B9D" w14:textId="28925A74"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b/>
          <w:bCs/>
          <w:sz w:val="24"/>
          <w:szCs w:val="24"/>
        </w:rPr>
        <w:tab/>
      </w:r>
      <w:r w:rsidRPr="007641DE">
        <w:rPr>
          <w:sz w:val="24"/>
          <w:szCs w:val="24"/>
        </w:rPr>
        <w:t xml:space="preserve">Subdivision (2) (a) is derived from </w:t>
      </w:r>
      <w:r w:rsidRPr="007641DE">
        <w:rPr>
          <w:i/>
          <w:iCs/>
          <w:sz w:val="24"/>
          <w:szCs w:val="24"/>
        </w:rPr>
        <w:t>People v Snyder</w:t>
      </w:r>
      <w:r w:rsidRPr="007641DE">
        <w:rPr>
          <w:sz w:val="24"/>
          <w:szCs w:val="24"/>
        </w:rPr>
        <w:t xml:space="preserve"> (41 NY 397, 398 [1869] [“courts will generally take notice of whatever ought to be generally known within the limits of their jurisdiction”]) and </w:t>
      </w:r>
      <w:r w:rsidRPr="007641DE">
        <w:rPr>
          <w:i/>
          <w:iCs/>
          <w:sz w:val="24"/>
          <w:szCs w:val="24"/>
        </w:rPr>
        <w:t>Hunter v New York, Ontario &amp; W. R.R. Co.</w:t>
      </w:r>
      <w:r w:rsidRPr="007641DE">
        <w:rPr>
          <w:sz w:val="24"/>
          <w:szCs w:val="24"/>
        </w:rPr>
        <w:t xml:space="preserve"> (116 NY 615, 621 [1889] [facts “which are generally known”]</w:t>
      </w:r>
      <w:r w:rsidR="00BE2147" w:rsidRPr="007641DE">
        <w:rPr>
          <w:sz w:val="24"/>
          <w:szCs w:val="24"/>
        </w:rPr>
        <w:t>; s</w:t>
      </w:r>
      <w:r w:rsidRPr="007641DE">
        <w:rPr>
          <w:i/>
          <w:iCs/>
          <w:sz w:val="24"/>
          <w:szCs w:val="24"/>
        </w:rPr>
        <w:t>ee also People v De Lago</w:t>
      </w:r>
      <w:r w:rsidRPr="007641DE">
        <w:rPr>
          <w:sz w:val="24"/>
          <w:szCs w:val="24"/>
        </w:rPr>
        <w:t>,</w:t>
      </w:r>
      <w:r w:rsidRPr="007641DE">
        <w:rPr>
          <w:i/>
          <w:iCs/>
          <w:sz w:val="24"/>
          <w:szCs w:val="24"/>
        </w:rPr>
        <w:t xml:space="preserve"> </w:t>
      </w:r>
      <w:r w:rsidRPr="007641DE">
        <w:rPr>
          <w:sz w:val="24"/>
          <w:szCs w:val="24"/>
        </w:rPr>
        <w:t xml:space="preserve">16 NY2d 289, 292 [1965] </w:t>
      </w:r>
      <w:r w:rsidR="00C5566D" w:rsidRPr="007641DE">
        <w:rPr>
          <w:sz w:val="24"/>
          <w:szCs w:val="24"/>
        </w:rPr>
        <w:t>[</w:t>
      </w:r>
      <w:r w:rsidRPr="007641DE">
        <w:rPr>
          <w:sz w:val="24"/>
          <w:szCs w:val="24"/>
        </w:rPr>
        <w:t xml:space="preserve">in issuing a “no-knock” search warrant, “the court could take judicial notice that contraband </w:t>
      </w:r>
      <w:r w:rsidR="00C5566D" w:rsidRPr="007641DE">
        <w:rPr>
          <w:sz w:val="24"/>
          <w:szCs w:val="24"/>
        </w:rPr>
        <w:t>(</w:t>
      </w:r>
      <w:r w:rsidRPr="007641DE">
        <w:rPr>
          <w:sz w:val="24"/>
          <w:szCs w:val="24"/>
        </w:rPr>
        <w:t>consi</w:t>
      </w:r>
      <w:r w:rsidR="00BE2147" w:rsidRPr="007641DE">
        <w:rPr>
          <w:sz w:val="24"/>
          <w:szCs w:val="24"/>
        </w:rPr>
        <w:t>sting</w:t>
      </w:r>
      <w:r w:rsidRPr="007641DE">
        <w:rPr>
          <w:sz w:val="24"/>
          <w:szCs w:val="24"/>
        </w:rPr>
        <w:t xml:space="preserve"> of gambling paraphernalia</w:t>
      </w:r>
      <w:r w:rsidR="00C5566D" w:rsidRPr="007641DE">
        <w:rPr>
          <w:sz w:val="24"/>
          <w:szCs w:val="24"/>
        </w:rPr>
        <w:t>)</w:t>
      </w:r>
      <w:r w:rsidR="00BE2147" w:rsidRPr="007641DE">
        <w:rPr>
          <w:sz w:val="24"/>
          <w:szCs w:val="24"/>
        </w:rPr>
        <w:t xml:space="preserve"> </w:t>
      </w:r>
      <w:r w:rsidRPr="007641DE">
        <w:rPr>
          <w:sz w:val="24"/>
          <w:szCs w:val="24"/>
        </w:rPr>
        <w:t>is easily secreted or destroyed if persons unlawfully in the possession thereof are notified in advance that the premises are about to be searched”])</w:t>
      </w:r>
      <w:r w:rsidR="00BE2147" w:rsidRPr="007641DE">
        <w:rPr>
          <w:sz w:val="24"/>
          <w:szCs w:val="24"/>
        </w:rPr>
        <w:t>.</w:t>
      </w:r>
    </w:p>
    <w:p w14:paraId="2F0AA053" w14:textId="77777777" w:rsidR="009D3B6C" w:rsidRPr="007641DE" w:rsidRDefault="009D3B6C"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5B56545" w14:textId="3419EAC7"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sz w:val="24"/>
          <w:szCs w:val="24"/>
        </w:rPr>
        <w:tab/>
        <w:t xml:space="preserve">Subdivision (2) (b) is derived from several Court of Appeals decisions, including </w:t>
      </w:r>
      <w:r w:rsidRPr="007641DE">
        <w:rPr>
          <w:i/>
          <w:iCs/>
          <w:sz w:val="24"/>
          <w:szCs w:val="24"/>
        </w:rPr>
        <w:t>People v Jones</w:t>
      </w:r>
      <w:r w:rsidRPr="007641DE">
        <w:rPr>
          <w:sz w:val="24"/>
          <w:szCs w:val="24"/>
        </w:rPr>
        <w:t xml:space="preserve"> (73 NY2d 427, 431 [1989] [“facts which are capable of immediate and accurate determination by resort to easily accessible sources of indisputable accuracy”</w:t>
      </w:r>
      <w:r w:rsidR="00BE2147" w:rsidRPr="007641DE">
        <w:rPr>
          <w:sz w:val="24"/>
          <w:szCs w:val="24"/>
        </w:rPr>
        <w:t xml:space="preserve"> (internal quotation marks omitted)])</w:t>
      </w:r>
      <w:r w:rsidRPr="007641DE">
        <w:rPr>
          <w:sz w:val="24"/>
          <w:szCs w:val="24"/>
        </w:rPr>
        <w:t xml:space="preserve"> and </w:t>
      </w:r>
      <w:r w:rsidRPr="007641DE">
        <w:rPr>
          <w:i/>
          <w:sz w:val="24"/>
          <w:szCs w:val="24"/>
        </w:rPr>
        <w:t>People v Schreier</w:t>
      </w:r>
      <w:r w:rsidRPr="007641DE">
        <w:rPr>
          <w:sz w:val="24"/>
          <w:szCs w:val="24"/>
        </w:rPr>
        <w:t xml:space="preserve"> (22 NY3d 494, 498 </w:t>
      </w:r>
      <w:r w:rsidR="00BE2147" w:rsidRPr="007641DE">
        <w:rPr>
          <w:sz w:val="24"/>
          <w:szCs w:val="24"/>
        </w:rPr>
        <w:t xml:space="preserve">n </w:t>
      </w:r>
      <w:r w:rsidRPr="007641DE">
        <w:rPr>
          <w:sz w:val="24"/>
          <w:szCs w:val="24"/>
        </w:rPr>
        <w:t>[2014] [“we can take judicial notice that sunrise was at 7:41 a.m. that day (</w:t>
      </w:r>
      <w:r w:rsidRPr="007641DE">
        <w:rPr>
          <w:i/>
          <w:iCs/>
          <w:sz w:val="24"/>
          <w:szCs w:val="24"/>
        </w:rPr>
        <w:t>see</w:t>
      </w:r>
      <w:r w:rsidRPr="007641DE">
        <w:rPr>
          <w:sz w:val="24"/>
          <w:szCs w:val="24"/>
        </w:rPr>
        <w:t xml:space="preserve"> United States Naval Observatory, Astronomical Applications Department, Complete Sun and Moon Data for One Day, Form A - U.S. Cities or Towns, Dec. 24, 2008, Rochester, New York, http://aa.usno.navy. mil/data/docs/</w:t>
      </w:r>
      <w:proofErr w:type="spellStart"/>
      <w:r w:rsidRPr="007641DE">
        <w:rPr>
          <w:sz w:val="24"/>
          <w:szCs w:val="24"/>
        </w:rPr>
        <w:t>RS_OneDay.php</w:t>
      </w:r>
      <w:proofErr w:type="spellEnd"/>
      <w:r w:rsidR="00BE2147" w:rsidRPr="007641DE">
        <w:rPr>
          <w:sz w:val="24"/>
          <w:szCs w:val="24"/>
        </w:rPr>
        <w:t xml:space="preserve"> . . .)</w:t>
      </w:r>
      <w:r w:rsidR="006246D1" w:rsidRPr="007641DE">
        <w:rPr>
          <w:sz w:val="24"/>
          <w:szCs w:val="24"/>
        </w:rPr>
        <w:t>”</w:t>
      </w:r>
      <w:r w:rsidRPr="007641DE">
        <w:rPr>
          <w:sz w:val="24"/>
          <w:szCs w:val="24"/>
        </w:rPr>
        <w:t>]).</w:t>
      </w:r>
    </w:p>
    <w:p w14:paraId="5AFAEF17" w14:textId="77777777" w:rsidR="009D3B6C" w:rsidRPr="007641DE" w:rsidRDefault="009D3B6C"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7B33C31" w14:textId="74A9E865"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sz w:val="24"/>
          <w:szCs w:val="24"/>
        </w:rPr>
        <w:tab/>
        <w:t>Subdivision (2) (c) is derived from several cases</w:t>
      </w:r>
      <w:r w:rsidR="00786E07" w:rsidRPr="007641DE">
        <w:rPr>
          <w:sz w:val="24"/>
          <w:szCs w:val="24"/>
        </w:rPr>
        <w:t>.</w:t>
      </w:r>
      <w:r w:rsidR="006246D1" w:rsidRPr="007641DE">
        <w:rPr>
          <w:sz w:val="24"/>
          <w:szCs w:val="24"/>
        </w:rPr>
        <w:t xml:space="preserve"> </w:t>
      </w:r>
      <w:r w:rsidRPr="007641DE">
        <w:rPr>
          <w:sz w:val="24"/>
          <w:szCs w:val="24"/>
        </w:rPr>
        <w:t xml:space="preserve">See </w:t>
      </w:r>
      <w:r w:rsidRPr="007641DE">
        <w:rPr>
          <w:i/>
          <w:iCs/>
          <w:sz w:val="24"/>
          <w:szCs w:val="24"/>
        </w:rPr>
        <w:t>Matter of Ordway</w:t>
      </w:r>
      <w:r w:rsidRPr="007641DE">
        <w:rPr>
          <w:sz w:val="24"/>
          <w:szCs w:val="24"/>
        </w:rPr>
        <w:t xml:space="preserve"> (196 NY 95, 97 [1909] [“We are judicially aware that the claim of the plaintiff in this action was contested by Mrs. Ordway, both individually and as administratrix, until it was finally determined adversely to her in this court”]);</w:t>
      </w:r>
      <w:r w:rsidRPr="007641DE">
        <w:rPr>
          <w:i/>
          <w:iCs/>
          <w:sz w:val="24"/>
          <w:szCs w:val="24"/>
        </w:rPr>
        <w:t xml:space="preserve"> Long v State of New York</w:t>
      </w:r>
      <w:r w:rsidRPr="007641DE">
        <w:rPr>
          <w:sz w:val="24"/>
          <w:szCs w:val="24"/>
        </w:rPr>
        <w:t xml:space="preserve"> (7 NY3d 269, 275 [2006] [“Taking judicial notice of the court </w:t>
      </w:r>
      <w:r w:rsidRPr="007641DE">
        <w:rPr>
          <w:bCs/>
          <w:sz w:val="24"/>
          <w:szCs w:val="24"/>
        </w:rPr>
        <w:t>r</w:t>
      </w:r>
      <w:r w:rsidRPr="007641DE">
        <w:rPr>
          <w:sz w:val="24"/>
          <w:szCs w:val="24"/>
        </w:rPr>
        <w:t>ecords demonstrating that the indictment was not dismissed until June 28, 2000 . . .</w:t>
      </w:r>
      <w:r w:rsidR="006246D1" w:rsidRPr="007641DE">
        <w:rPr>
          <w:sz w:val="24"/>
          <w:szCs w:val="24"/>
        </w:rPr>
        <w:t xml:space="preserve"> , </w:t>
      </w:r>
      <w:r w:rsidRPr="007641DE">
        <w:rPr>
          <w:sz w:val="24"/>
          <w:szCs w:val="24"/>
        </w:rPr>
        <w:t xml:space="preserve">we </w:t>
      </w:r>
      <w:r w:rsidRPr="007641DE">
        <w:rPr>
          <w:sz w:val="24"/>
          <w:szCs w:val="24"/>
        </w:rPr>
        <w:lastRenderedPageBreak/>
        <w:t>are satisfied that claimant sustained the timeliness of his claim”]); and</w:t>
      </w:r>
      <w:r w:rsidRPr="007641DE">
        <w:rPr>
          <w:i/>
          <w:iCs/>
          <w:sz w:val="24"/>
          <w:szCs w:val="24"/>
        </w:rPr>
        <w:t xml:space="preserve"> </w:t>
      </w:r>
      <w:proofErr w:type="spellStart"/>
      <w:r w:rsidRPr="007641DE">
        <w:rPr>
          <w:i/>
          <w:iCs/>
          <w:sz w:val="24"/>
          <w:szCs w:val="24"/>
        </w:rPr>
        <w:t>Ptasznik</w:t>
      </w:r>
      <w:proofErr w:type="spellEnd"/>
      <w:r w:rsidRPr="007641DE">
        <w:rPr>
          <w:i/>
          <w:iCs/>
          <w:sz w:val="24"/>
          <w:szCs w:val="24"/>
        </w:rPr>
        <w:t xml:space="preserve"> v Schultz</w:t>
      </w:r>
      <w:r w:rsidRPr="007641DE">
        <w:rPr>
          <w:sz w:val="24"/>
          <w:szCs w:val="24"/>
        </w:rPr>
        <w:t xml:space="preserve"> (247</w:t>
      </w:r>
      <w:r w:rsidR="001E59E6" w:rsidRPr="007641DE">
        <w:rPr>
          <w:sz w:val="24"/>
          <w:szCs w:val="24"/>
        </w:rPr>
        <w:t xml:space="preserve"> AD2d 197, 199 [2d Dept 1998]).</w:t>
      </w:r>
    </w:p>
    <w:p w14:paraId="621900C9" w14:textId="77777777" w:rsidR="001E59E6" w:rsidRPr="007641DE" w:rsidRDefault="001E59E6"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44008D1" w14:textId="57B9A535"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sz w:val="24"/>
          <w:szCs w:val="24"/>
        </w:rPr>
        <w:tab/>
        <w:t>Care must be taken in deciding whether an item in a court file is subject to judicial notice</w:t>
      </w:r>
      <w:r w:rsidR="00786E07" w:rsidRPr="007641DE">
        <w:rPr>
          <w:sz w:val="24"/>
          <w:szCs w:val="24"/>
        </w:rPr>
        <w:t>.</w:t>
      </w:r>
      <w:r w:rsidR="006246D1" w:rsidRPr="007641DE">
        <w:rPr>
          <w:sz w:val="24"/>
          <w:szCs w:val="24"/>
        </w:rPr>
        <w:t xml:space="preserve"> </w:t>
      </w:r>
      <w:r w:rsidRPr="007641DE">
        <w:rPr>
          <w:sz w:val="24"/>
          <w:szCs w:val="24"/>
        </w:rPr>
        <w:t xml:space="preserve">As </w:t>
      </w:r>
      <w:proofErr w:type="spellStart"/>
      <w:r w:rsidRPr="007641DE">
        <w:rPr>
          <w:i/>
          <w:iCs/>
          <w:sz w:val="24"/>
          <w:szCs w:val="24"/>
        </w:rPr>
        <w:t>Ptasznik</w:t>
      </w:r>
      <w:proofErr w:type="spellEnd"/>
      <w:r w:rsidRPr="007641DE">
        <w:rPr>
          <w:sz w:val="24"/>
          <w:szCs w:val="24"/>
        </w:rPr>
        <w:t xml:space="preserve"> (at 199) explains,</w:t>
      </w:r>
    </w:p>
    <w:p w14:paraId="579F260C" w14:textId="77777777" w:rsidR="001E59E6" w:rsidRPr="007641DE" w:rsidRDefault="001E59E6"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F837866" w14:textId="50B5C233" w:rsidR="002F07FE" w:rsidRPr="007641DE" w:rsidRDefault="002F07FE" w:rsidP="001560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7641DE">
        <w:rPr>
          <w:sz w:val="24"/>
          <w:szCs w:val="24"/>
        </w:rPr>
        <w:t>“In some instances, and under certain circumstances, undisputed portions of court files or official records, such as prior orders or kindred documents, may be judicially noticed</w:t>
      </w:r>
      <w:r w:rsidR="00786E07" w:rsidRPr="007641DE">
        <w:rPr>
          <w:sz w:val="24"/>
          <w:szCs w:val="24"/>
        </w:rPr>
        <w:t xml:space="preserve">. </w:t>
      </w:r>
      <w:r w:rsidRPr="007641DE">
        <w:rPr>
          <w:sz w:val="24"/>
          <w:szCs w:val="24"/>
        </w:rPr>
        <w:t>No authoritative case has ever held, however, that an item may be considered and weighed by the finder of fact merely because the item, however unauthenticated and unreliable it may be, happened to repose in</w:t>
      </w:r>
      <w:r w:rsidR="000B6DA7" w:rsidRPr="007641DE">
        <w:rPr>
          <w:sz w:val="24"/>
          <w:szCs w:val="24"/>
        </w:rPr>
        <w:t xml:space="preserve"> the court’</w:t>
      </w:r>
      <w:r w:rsidRPr="007641DE">
        <w:rPr>
          <w:sz w:val="24"/>
          <w:szCs w:val="24"/>
        </w:rPr>
        <w:t>s file</w:t>
      </w:r>
      <w:r w:rsidR="00786E07" w:rsidRPr="007641DE">
        <w:rPr>
          <w:sz w:val="24"/>
          <w:szCs w:val="24"/>
        </w:rPr>
        <w:t>.</w:t>
      </w:r>
      <w:r w:rsidR="006246D1" w:rsidRPr="007641DE">
        <w:rPr>
          <w:sz w:val="24"/>
          <w:szCs w:val="24"/>
        </w:rPr>
        <w:t xml:space="preserve"> </w:t>
      </w:r>
      <w:r w:rsidRPr="007641DE">
        <w:rPr>
          <w:sz w:val="24"/>
          <w:szCs w:val="24"/>
        </w:rPr>
        <w:t>[Items] that are otherwise inadmissible are not rendered admissible merely because they happen to be part of the paperwork filed with the court</w:t>
      </w:r>
      <w:proofErr w:type="gramStart"/>
      <w:r w:rsidRPr="007641DE">
        <w:rPr>
          <w:sz w:val="24"/>
          <w:szCs w:val="24"/>
        </w:rPr>
        <w:t>. . . .</w:t>
      </w:r>
      <w:proofErr w:type="gramEnd"/>
      <w:r w:rsidRPr="007641DE">
        <w:rPr>
          <w:sz w:val="24"/>
          <w:szCs w:val="24"/>
        </w:rPr>
        <w:t xml:space="preserve"> </w:t>
      </w:r>
    </w:p>
    <w:p w14:paraId="41AE92F5" w14:textId="77777777" w:rsidR="00DB266F" w:rsidRPr="007641DE" w:rsidRDefault="00DB266F" w:rsidP="001560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488"/>
        </w:tabs>
        <w:ind w:right="432"/>
        <w:jc w:val="both"/>
        <w:rPr>
          <w:sz w:val="24"/>
          <w:szCs w:val="24"/>
        </w:rPr>
      </w:pPr>
    </w:p>
    <w:p w14:paraId="0975CE00" w14:textId="3F4E9F73" w:rsidR="002F07FE" w:rsidRPr="007641DE" w:rsidRDefault="002F07FE" w:rsidP="001560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7641DE">
        <w:rPr>
          <w:sz w:val="24"/>
          <w:szCs w:val="24"/>
        </w:rPr>
        <w:t>“Court files are often replete with letters, affidavits, legal briefs, privileged or confidential data, in camera materials, fingerprint records, probation reports, as well as depositions that may contain unredacted gossip and all manner of hearsay and opinion</w:t>
      </w:r>
      <w:r w:rsidR="00DC3412" w:rsidRPr="007641DE">
        <w:rPr>
          <w:sz w:val="24"/>
          <w:szCs w:val="24"/>
        </w:rPr>
        <w:t>”</w:t>
      </w:r>
      <w:r w:rsidRPr="007641DE">
        <w:rPr>
          <w:sz w:val="24"/>
          <w:szCs w:val="24"/>
        </w:rPr>
        <w:t xml:space="preserve"> (citations omitted</w:t>
      </w:r>
      <w:r w:rsidR="006246D1" w:rsidRPr="007641DE">
        <w:rPr>
          <w:sz w:val="24"/>
          <w:szCs w:val="24"/>
        </w:rPr>
        <w:t xml:space="preserve">; </w:t>
      </w:r>
      <w:r w:rsidR="006246D1" w:rsidRPr="007641DE">
        <w:rPr>
          <w:i/>
          <w:iCs/>
          <w:sz w:val="24"/>
          <w:szCs w:val="24"/>
        </w:rPr>
        <w:t>s</w:t>
      </w:r>
      <w:r w:rsidRPr="007641DE">
        <w:rPr>
          <w:i/>
          <w:iCs/>
          <w:sz w:val="24"/>
          <w:szCs w:val="24"/>
        </w:rPr>
        <w:t>ee</w:t>
      </w:r>
      <w:r w:rsidRPr="007641DE">
        <w:rPr>
          <w:sz w:val="24"/>
          <w:szCs w:val="24"/>
        </w:rPr>
        <w:t xml:space="preserve"> </w:t>
      </w:r>
      <w:proofErr w:type="spellStart"/>
      <w:r w:rsidRPr="007641DE">
        <w:rPr>
          <w:i/>
          <w:iCs/>
          <w:sz w:val="24"/>
          <w:szCs w:val="24"/>
        </w:rPr>
        <w:t>Sleasman</w:t>
      </w:r>
      <w:proofErr w:type="spellEnd"/>
      <w:r w:rsidRPr="007641DE">
        <w:rPr>
          <w:i/>
          <w:iCs/>
          <w:sz w:val="24"/>
          <w:szCs w:val="24"/>
        </w:rPr>
        <w:t xml:space="preserve"> v Sherwood</w:t>
      </w:r>
      <w:r w:rsidRPr="007641DE">
        <w:rPr>
          <w:sz w:val="24"/>
          <w:szCs w:val="24"/>
        </w:rPr>
        <w:t xml:space="preserve">, 212 AD2d 868, </w:t>
      </w:r>
      <w:r w:rsidR="008B50F4" w:rsidRPr="007641DE">
        <w:rPr>
          <w:sz w:val="24"/>
          <w:szCs w:val="24"/>
        </w:rPr>
        <w:t>870</w:t>
      </w:r>
      <w:r w:rsidRPr="007641DE">
        <w:rPr>
          <w:sz w:val="24"/>
          <w:szCs w:val="24"/>
        </w:rPr>
        <w:t xml:space="preserve"> [3d Dept 1995] [the court did not err in refusing to take judicial notice of an administrative agency’s records, especially those involving a permit the agency issued that “contained </w:t>
      </w:r>
      <w:r w:rsidR="006246D1" w:rsidRPr="007641DE">
        <w:rPr>
          <w:sz w:val="24"/>
          <w:szCs w:val="24"/>
        </w:rPr>
        <w:t>(</w:t>
      </w:r>
      <w:r w:rsidRPr="007641DE">
        <w:rPr>
          <w:sz w:val="24"/>
          <w:szCs w:val="24"/>
        </w:rPr>
        <w:t>the agency’s</w:t>
      </w:r>
      <w:r w:rsidR="006246D1" w:rsidRPr="007641DE">
        <w:rPr>
          <w:sz w:val="24"/>
          <w:szCs w:val="24"/>
        </w:rPr>
        <w:t>)</w:t>
      </w:r>
      <w:r w:rsidR="008B50F4" w:rsidRPr="007641DE">
        <w:rPr>
          <w:sz w:val="24"/>
          <w:szCs w:val="24"/>
        </w:rPr>
        <w:t xml:space="preserve"> </w:t>
      </w:r>
      <w:r w:rsidRPr="007641DE">
        <w:rPr>
          <w:sz w:val="24"/>
          <w:szCs w:val="24"/>
        </w:rPr>
        <w:t>findings of fact”])</w:t>
      </w:r>
      <w:r w:rsidR="008B50F4" w:rsidRPr="007641DE">
        <w:rPr>
          <w:sz w:val="24"/>
          <w:szCs w:val="24"/>
        </w:rPr>
        <w:t>.</w:t>
      </w:r>
    </w:p>
    <w:p w14:paraId="076C9EFC" w14:textId="77777777" w:rsidR="001E59E6" w:rsidRPr="007641DE" w:rsidRDefault="001E59E6"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D1BD9E0" w14:textId="3CABCBB9"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i/>
          <w:iCs/>
          <w:sz w:val="24"/>
          <w:szCs w:val="24"/>
        </w:rPr>
        <w:tab/>
      </w:r>
      <w:r w:rsidRPr="007641DE">
        <w:rPr>
          <w:sz w:val="24"/>
          <w:szCs w:val="24"/>
        </w:rPr>
        <w:t xml:space="preserve">Examples of the proper application of judicial notice, as set forth in </w:t>
      </w:r>
      <w:r w:rsidRPr="007641DE">
        <w:rPr>
          <w:i/>
          <w:iCs/>
          <w:sz w:val="24"/>
          <w:szCs w:val="24"/>
        </w:rPr>
        <w:t>Kingsbrook Jewish Med. Ctr. v Allstate Ins. Co.</w:t>
      </w:r>
      <w:r w:rsidRPr="007641DE">
        <w:rPr>
          <w:sz w:val="24"/>
          <w:szCs w:val="24"/>
        </w:rPr>
        <w:t xml:space="preserve"> (61 AD3d 13, 19-20 [2d Dept 2009]), include: census data; agency policies; certificates of corporate dissolution maintained by the Secretary of State; resignation of public officials; legislative proceedings; legislative journals; the consumer price index; the location of real property recorded with a clerk; death certificates maintained by the Department of Health; “undisputed” court records and files; and material derived from official government websites.</w:t>
      </w:r>
    </w:p>
    <w:p w14:paraId="60824648" w14:textId="77777777" w:rsidR="001E59E6" w:rsidRPr="007641DE" w:rsidRDefault="001E59E6"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0CF252E" w14:textId="620DC1E9"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b/>
          <w:bCs/>
          <w:sz w:val="24"/>
          <w:szCs w:val="24"/>
        </w:rPr>
        <w:tab/>
        <w:t>Subdivision (3)</w:t>
      </w:r>
      <w:r w:rsidR="00786E07" w:rsidRPr="007641DE">
        <w:rPr>
          <w:bCs/>
          <w:sz w:val="24"/>
          <w:szCs w:val="24"/>
        </w:rPr>
        <w:t>.</w:t>
      </w:r>
      <w:r w:rsidR="00786E07" w:rsidRPr="007641DE">
        <w:rPr>
          <w:sz w:val="24"/>
          <w:szCs w:val="24"/>
        </w:rPr>
        <w:t xml:space="preserve"> </w:t>
      </w:r>
      <w:r w:rsidRPr="007641DE">
        <w:rPr>
          <w:sz w:val="24"/>
          <w:szCs w:val="24"/>
        </w:rPr>
        <w:t xml:space="preserve">The rule set forth in this subdivision is derived from </w:t>
      </w:r>
      <w:r w:rsidRPr="007641DE">
        <w:rPr>
          <w:i/>
          <w:iCs/>
          <w:sz w:val="24"/>
          <w:szCs w:val="24"/>
        </w:rPr>
        <w:t>Hunter</w:t>
      </w:r>
      <w:r w:rsidRPr="007641DE">
        <w:rPr>
          <w:sz w:val="24"/>
          <w:szCs w:val="24"/>
        </w:rPr>
        <w:t xml:space="preserve"> (116 NY at 621 [“Courts are not bound to take judicial notice of matters of fact</w:t>
      </w:r>
      <w:r w:rsidR="00786E07" w:rsidRPr="007641DE">
        <w:rPr>
          <w:sz w:val="24"/>
          <w:szCs w:val="24"/>
        </w:rPr>
        <w:t xml:space="preserve">. </w:t>
      </w:r>
      <w:r w:rsidRPr="007641DE">
        <w:rPr>
          <w:sz w:val="24"/>
          <w:szCs w:val="24"/>
        </w:rPr>
        <w:t xml:space="preserve">Whether they will do so or not </w:t>
      </w:r>
      <w:proofErr w:type="gramStart"/>
      <w:r w:rsidRPr="007641DE">
        <w:rPr>
          <w:sz w:val="24"/>
          <w:szCs w:val="24"/>
        </w:rPr>
        <w:t>depends</w:t>
      </w:r>
      <w:proofErr w:type="gramEnd"/>
      <w:r w:rsidRPr="007641DE">
        <w:rPr>
          <w:sz w:val="24"/>
          <w:szCs w:val="24"/>
        </w:rPr>
        <w:t xml:space="preserve"> on the nature of the subject, the issue involved and the apparent justice of the case”])</w:t>
      </w:r>
      <w:r w:rsidR="00786E07" w:rsidRPr="007641DE">
        <w:rPr>
          <w:sz w:val="24"/>
          <w:szCs w:val="24"/>
        </w:rPr>
        <w:t xml:space="preserve">. </w:t>
      </w:r>
      <w:r w:rsidRPr="007641DE">
        <w:rPr>
          <w:sz w:val="24"/>
          <w:szCs w:val="24"/>
        </w:rPr>
        <w:t>While the Court of Appeals has not addressed the issue of whether a court may take judicial notice sua sponte, such action would appear to be within the court’s discretion, provided the parties are given notice and an opportunity to respond, as set forth in subdivision (4)</w:t>
      </w:r>
      <w:r w:rsidR="008B50F4" w:rsidRPr="007641DE">
        <w:rPr>
          <w:sz w:val="24"/>
          <w:szCs w:val="24"/>
        </w:rPr>
        <w:t xml:space="preserve"> </w:t>
      </w:r>
      <w:r w:rsidRPr="007641DE">
        <w:rPr>
          <w:sz w:val="24"/>
          <w:szCs w:val="24"/>
        </w:rPr>
        <w:t>(</w:t>
      </w:r>
      <w:r w:rsidR="008B50F4" w:rsidRPr="007641DE">
        <w:rPr>
          <w:i/>
          <w:iCs/>
          <w:sz w:val="24"/>
          <w:szCs w:val="24"/>
        </w:rPr>
        <w:t>s</w:t>
      </w:r>
      <w:r w:rsidRPr="007641DE">
        <w:rPr>
          <w:i/>
          <w:iCs/>
          <w:sz w:val="24"/>
          <w:szCs w:val="24"/>
        </w:rPr>
        <w:t>ee Matter of Justice v King</w:t>
      </w:r>
      <w:r w:rsidRPr="007641DE">
        <w:rPr>
          <w:sz w:val="24"/>
          <w:szCs w:val="24"/>
        </w:rPr>
        <w:t>, 60 AD3d 1452, 1453 [4th Dept 2009])</w:t>
      </w:r>
      <w:r w:rsidR="008B50F4" w:rsidRPr="007641DE">
        <w:rPr>
          <w:sz w:val="24"/>
          <w:szCs w:val="24"/>
        </w:rPr>
        <w:t>.</w:t>
      </w:r>
    </w:p>
    <w:p w14:paraId="25D21434" w14:textId="77777777" w:rsidR="001E59E6" w:rsidRPr="007641DE" w:rsidRDefault="001E59E6"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75DD51A" w14:textId="661CE463"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sz w:val="24"/>
          <w:szCs w:val="24"/>
        </w:rPr>
        <w:tab/>
        <w:t xml:space="preserve">An appellate court, as well as a trial court, may take judicial notice of some official documents, albeit “it is simply improper to make wholesale presentation of </w:t>
      </w:r>
      <w:r w:rsidRPr="007641DE">
        <w:rPr>
          <w:sz w:val="24"/>
          <w:szCs w:val="24"/>
        </w:rPr>
        <w:lastRenderedPageBreak/>
        <w:t>factual data through t</w:t>
      </w:r>
      <w:r w:rsidR="000B6DA7" w:rsidRPr="007641DE">
        <w:rPr>
          <w:sz w:val="24"/>
          <w:szCs w:val="24"/>
        </w:rPr>
        <w:t>he medium of addenda to a brief”</w:t>
      </w:r>
      <w:r w:rsidRPr="007641DE">
        <w:rPr>
          <w:sz w:val="24"/>
          <w:szCs w:val="24"/>
        </w:rPr>
        <w:t xml:space="preserve"> (</w:t>
      </w:r>
      <w:r w:rsidRPr="007641DE">
        <w:rPr>
          <w:i/>
          <w:iCs/>
          <w:sz w:val="24"/>
          <w:szCs w:val="24"/>
        </w:rPr>
        <w:t>Board of Educ. of Belmont Cent</w:t>
      </w:r>
      <w:r w:rsidR="00786E07" w:rsidRPr="007641DE">
        <w:rPr>
          <w:i/>
          <w:iCs/>
          <w:sz w:val="24"/>
          <w:szCs w:val="24"/>
        </w:rPr>
        <w:t>.</w:t>
      </w:r>
      <w:r w:rsidR="008B50F4" w:rsidRPr="007641DE">
        <w:rPr>
          <w:i/>
          <w:iCs/>
          <w:sz w:val="24"/>
          <w:szCs w:val="24"/>
        </w:rPr>
        <w:t xml:space="preserve"> </w:t>
      </w:r>
      <w:r w:rsidRPr="007641DE">
        <w:rPr>
          <w:i/>
          <w:iCs/>
          <w:sz w:val="24"/>
          <w:szCs w:val="24"/>
        </w:rPr>
        <w:t>School Dist. v Gootnick</w:t>
      </w:r>
      <w:r w:rsidRPr="007641DE">
        <w:rPr>
          <w:sz w:val="24"/>
          <w:szCs w:val="24"/>
        </w:rPr>
        <w:t>, 49 NY2d 683, 687 [1980]).</w:t>
      </w:r>
    </w:p>
    <w:p w14:paraId="35C50CFE" w14:textId="77777777" w:rsidR="001E59E6" w:rsidRPr="007641DE" w:rsidRDefault="001E59E6"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390337E" w14:textId="608095EC" w:rsidR="002F07FE"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b/>
          <w:bCs/>
          <w:sz w:val="24"/>
          <w:szCs w:val="24"/>
        </w:rPr>
        <w:tab/>
        <w:t>Subdivision (4)</w:t>
      </w:r>
      <w:r w:rsidR="0048760F" w:rsidRPr="007641DE">
        <w:rPr>
          <w:bCs/>
          <w:sz w:val="24"/>
          <w:szCs w:val="24"/>
        </w:rPr>
        <w:t>.</w:t>
      </w:r>
      <w:r w:rsidR="0048760F" w:rsidRPr="007641DE">
        <w:rPr>
          <w:sz w:val="24"/>
          <w:szCs w:val="24"/>
        </w:rPr>
        <w:t xml:space="preserve"> </w:t>
      </w:r>
      <w:r w:rsidRPr="007641DE">
        <w:rPr>
          <w:sz w:val="24"/>
          <w:szCs w:val="24"/>
        </w:rPr>
        <w:t>Notice as to the taking of judicial notice, as well as the opportunity to be heard on the issue, is constitutionally required</w:t>
      </w:r>
      <w:r w:rsidR="008B50F4" w:rsidRPr="007641DE">
        <w:rPr>
          <w:sz w:val="24"/>
          <w:szCs w:val="24"/>
        </w:rPr>
        <w:t xml:space="preserve"> </w:t>
      </w:r>
      <w:r w:rsidRPr="007641DE">
        <w:rPr>
          <w:sz w:val="24"/>
          <w:szCs w:val="24"/>
        </w:rPr>
        <w:t>(</w:t>
      </w:r>
      <w:r w:rsidR="008B50F4" w:rsidRPr="007641DE">
        <w:rPr>
          <w:i/>
          <w:iCs/>
          <w:sz w:val="24"/>
          <w:szCs w:val="24"/>
        </w:rPr>
        <w:t>s</w:t>
      </w:r>
      <w:r w:rsidRPr="007641DE">
        <w:rPr>
          <w:i/>
          <w:iCs/>
          <w:sz w:val="24"/>
          <w:szCs w:val="24"/>
        </w:rPr>
        <w:t>ee e.g. Garner v Louisiana</w:t>
      </w:r>
      <w:r w:rsidRPr="007641DE">
        <w:rPr>
          <w:sz w:val="24"/>
          <w:szCs w:val="24"/>
        </w:rPr>
        <w:t xml:space="preserve">, 368 US 157, 173 [1961]; </w:t>
      </w:r>
      <w:r w:rsidRPr="007641DE">
        <w:rPr>
          <w:i/>
          <w:iCs/>
          <w:sz w:val="24"/>
          <w:szCs w:val="24"/>
        </w:rPr>
        <w:t>Matter of Chasalow v Board of Assessors of County of Nassau</w:t>
      </w:r>
      <w:r w:rsidRPr="007641DE">
        <w:rPr>
          <w:sz w:val="24"/>
          <w:szCs w:val="24"/>
        </w:rPr>
        <w:t>, 176 AD2d 800, 804 [2d Dept 1991] [“Should the Supreme Court find it appropriate to take judicial notice . . . , fundamental fairness dictates that it should provide the parties with advance notice of its intention to do so”])</w:t>
      </w:r>
      <w:r w:rsidR="008B50F4" w:rsidRPr="007641DE">
        <w:rPr>
          <w:sz w:val="24"/>
          <w:szCs w:val="24"/>
        </w:rPr>
        <w:t>.</w:t>
      </w:r>
    </w:p>
    <w:p w14:paraId="2E144862" w14:textId="77777777" w:rsidR="001E59E6" w:rsidRPr="007641DE" w:rsidRDefault="001E59E6"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230B753" w14:textId="1E61F3A9" w:rsidR="00663CB4"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b/>
          <w:bCs/>
          <w:sz w:val="24"/>
          <w:szCs w:val="24"/>
        </w:rPr>
        <w:tab/>
        <w:t>Subdivision (5)</w:t>
      </w:r>
      <w:r w:rsidR="0048760F" w:rsidRPr="007641DE">
        <w:rPr>
          <w:bCs/>
          <w:sz w:val="24"/>
          <w:szCs w:val="24"/>
        </w:rPr>
        <w:t>.</w:t>
      </w:r>
      <w:r w:rsidR="0048760F" w:rsidRPr="007641DE">
        <w:rPr>
          <w:sz w:val="24"/>
          <w:szCs w:val="24"/>
        </w:rPr>
        <w:t xml:space="preserve"> </w:t>
      </w:r>
      <w:r w:rsidRPr="007641DE">
        <w:rPr>
          <w:sz w:val="24"/>
          <w:szCs w:val="24"/>
        </w:rPr>
        <w:t xml:space="preserve">The rule set forth in this subdivision is derived from </w:t>
      </w:r>
      <w:r w:rsidRPr="007641DE">
        <w:rPr>
          <w:i/>
          <w:iCs/>
          <w:sz w:val="24"/>
          <w:szCs w:val="24"/>
        </w:rPr>
        <w:t>Hunter</w:t>
      </w:r>
      <w:r w:rsidRPr="007641DE">
        <w:rPr>
          <w:sz w:val="24"/>
          <w:szCs w:val="24"/>
        </w:rPr>
        <w:t xml:space="preserve"> (116 NY at 621), which recognizes that the circumstances under which the taking of judicial notice may be appropriate are not limited to any </w:t>
      </w:r>
      <w:proofErr w:type="gramStart"/>
      <w:r w:rsidRPr="007641DE">
        <w:rPr>
          <w:sz w:val="24"/>
          <w:szCs w:val="24"/>
        </w:rPr>
        <w:t>particular stage</w:t>
      </w:r>
      <w:proofErr w:type="gramEnd"/>
      <w:r w:rsidRPr="007641DE">
        <w:rPr>
          <w:sz w:val="24"/>
          <w:szCs w:val="24"/>
        </w:rPr>
        <w:t xml:space="preserve"> of </w:t>
      </w:r>
      <w:r w:rsidR="0048760F" w:rsidRPr="007641DE">
        <w:rPr>
          <w:sz w:val="24"/>
          <w:szCs w:val="24"/>
        </w:rPr>
        <w:t>a</w:t>
      </w:r>
      <w:r w:rsidR="00433B2D" w:rsidRPr="007641DE">
        <w:rPr>
          <w:sz w:val="24"/>
          <w:szCs w:val="24"/>
        </w:rPr>
        <w:t xml:space="preserve"> </w:t>
      </w:r>
      <w:r w:rsidRPr="007641DE">
        <w:rPr>
          <w:sz w:val="24"/>
          <w:szCs w:val="24"/>
        </w:rPr>
        <w:t>proceeding</w:t>
      </w:r>
      <w:r w:rsidR="00BB3BB5" w:rsidRPr="007641DE">
        <w:rPr>
          <w:sz w:val="24"/>
          <w:szCs w:val="24"/>
        </w:rPr>
        <w:t xml:space="preserve"> </w:t>
      </w:r>
      <w:r w:rsidRPr="007641DE">
        <w:rPr>
          <w:sz w:val="24"/>
          <w:szCs w:val="24"/>
        </w:rPr>
        <w:t>(</w:t>
      </w:r>
      <w:r w:rsidR="00BB3BB5" w:rsidRPr="007641DE">
        <w:rPr>
          <w:i/>
          <w:iCs/>
          <w:sz w:val="24"/>
          <w:szCs w:val="24"/>
        </w:rPr>
        <w:t>s</w:t>
      </w:r>
      <w:r w:rsidRPr="007641DE">
        <w:rPr>
          <w:i/>
          <w:iCs/>
          <w:sz w:val="24"/>
          <w:szCs w:val="24"/>
        </w:rPr>
        <w:t>ee Matter of Albano v Kirby</w:t>
      </w:r>
      <w:r w:rsidRPr="007641DE">
        <w:rPr>
          <w:sz w:val="24"/>
          <w:szCs w:val="24"/>
        </w:rPr>
        <w:t>, 36 NY2d 526, 532 [1975]</w:t>
      </w:r>
      <w:r w:rsidR="00E653C1" w:rsidRPr="007641DE">
        <w:rPr>
          <w:sz w:val="24"/>
          <w:szCs w:val="24"/>
        </w:rPr>
        <w:t xml:space="preserve"> </w:t>
      </w:r>
      <w:r w:rsidR="00663CB4" w:rsidRPr="007641DE">
        <w:rPr>
          <w:sz w:val="24"/>
          <w:szCs w:val="24"/>
        </w:rPr>
        <w:t xml:space="preserve">[taking judicial notice on appeal of a memorandum of </w:t>
      </w:r>
      <w:r w:rsidR="006F79DD" w:rsidRPr="007641DE">
        <w:rPr>
          <w:sz w:val="24"/>
          <w:szCs w:val="24"/>
        </w:rPr>
        <w:t>a state department</w:t>
      </w:r>
      <w:r w:rsidR="00663CB4" w:rsidRPr="007641DE">
        <w:rPr>
          <w:sz w:val="24"/>
          <w:szCs w:val="24"/>
        </w:rPr>
        <w:t>])</w:t>
      </w:r>
      <w:r w:rsidR="00BB3BB5" w:rsidRPr="007641DE">
        <w:rPr>
          <w:sz w:val="24"/>
          <w:szCs w:val="24"/>
        </w:rPr>
        <w:t>.</w:t>
      </w:r>
    </w:p>
    <w:p w14:paraId="4E594183" w14:textId="77777777" w:rsidR="00663CB4" w:rsidRPr="007641DE" w:rsidRDefault="00663CB4"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FCAC83E" w14:textId="550213F1" w:rsidR="00C33CED" w:rsidRPr="007641DE" w:rsidRDefault="002F07FE"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sz w:val="24"/>
          <w:szCs w:val="24"/>
        </w:rPr>
        <w:tab/>
      </w:r>
      <w:r w:rsidRPr="007641DE">
        <w:rPr>
          <w:b/>
          <w:bCs/>
          <w:sz w:val="24"/>
          <w:szCs w:val="24"/>
        </w:rPr>
        <w:t>Subdivision (6)</w:t>
      </w:r>
      <w:r w:rsidR="008F5223" w:rsidRPr="007641DE">
        <w:rPr>
          <w:sz w:val="24"/>
          <w:szCs w:val="24"/>
        </w:rPr>
        <w:t>.</w:t>
      </w:r>
      <w:r w:rsidR="0048760F" w:rsidRPr="007641DE">
        <w:rPr>
          <w:sz w:val="24"/>
          <w:szCs w:val="24"/>
        </w:rPr>
        <w:t xml:space="preserve"> </w:t>
      </w:r>
      <w:r w:rsidRPr="007641DE">
        <w:rPr>
          <w:sz w:val="24"/>
          <w:szCs w:val="24"/>
        </w:rPr>
        <w:t xml:space="preserve">The rule set forth in this subdivision is derived from </w:t>
      </w:r>
      <w:r w:rsidRPr="007641DE">
        <w:rPr>
          <w:i/>
          <w:iCs/>
          <w:sz w:val="24"/>
          <w:szCs w:val="24"/>
        </w:rPr>
        <w:t>Hunter</w:t>
      </w:r>
      <w:r w:rsidRPr="007641DE">
        <w:rPr>
          <w:sz w:val="24"/>
          <w:szCs w:val="24"/>
        </w:rPr>
        <w:t xml:space="preserve"> (116 NY at 621</w:t>
      </w:r>
      <w:r w:rsidR="00402EFA" w:rsidRPr="007641DE">
        <w:rPr>
          <w:sz w:val="24"/>
          <w:szCs w:val="24"/>
        </w:rPr>
        <w:t xml:space="preserve"> </w:t>
      </w:r>
      <w:r w:rsidR="009A5DC2" w:rsidRPr="007641DE">
        <w:rPr>
          <w:sz w:val="24"/>
          <w:szCs w:val="24"/>
        </w:rPr>
        <w:t>[</w:t>
      </w:r>
      <w:r w:rsidR="00F3634A" w:rsidRPr="007641DE">
        <w:rPr>
          <w:sz w:val="24"/>
          <w:szCs w:val="24"/>
        </w:rPr>
        <w:t>“</w:t>
      </w:r>
      <w:r w:rsidR="00BB3BB5" w:rsidRPr="007641DE">
        <w:rPr>
          <w:sz w:val="24"/>
          <w:szCs w:val="24"/>
        </w:rPr>
        <w:t>(J)</w:t>
      </w:r>
      <w:proofErr w:type="spellStart"/>
      <w:r w:rsidR="00C33CED" w:rsidRPr="007641DE">
        <w:rPr>
          <w:sz w:val="24"/>
          <w:szCs w:val="24"/>
        </w:rPr>
        <w:t>udicial</w:t>
      </w:r>
      <w:proofErr w:type="spellEnd"/>
      <w:r w:rsidR="00C33CED" w:rsidRPr="007641DE">
        <w:rPr>
          <w:sz w:val="24"/>
          <w:szCs w:val="24"/>
        </w:rPr>
        <w:t xml:space="preserve"> notice may be taken of facts which are a part of the general knowledge of the country, and which are generally known and have been duly authenticated in repositories of facts open to all, and especially so of facts of official, </w:t>
      </w:r>
      <w:proofErr w:type="gramStart"/>
      <w:r w:rsidR="00C33CED" w:rsidRPr="007641DE">
        <w:rPr>
          <w:sz w:val="24"/>
          <w:szCs w:val="24"/>
        </w:rPr>
        <w:t>scientific</w:t>
      </w:r>
      <w:proofErr w:type="gramEnd"/>
      <w:r w:rsidR="00C33CED" w:rsidRPr="007641DE">
        <w:rPr>
          <w:sz w:val="24"/>
          <w:szCs w:val="24"/>
        </w:rPr>
        <w:t xml:space="preserve"> or historical character</w:t>
      </w:r>
      <w:r w:rsidR="009A5DC2" w:rsidRPr="007641DE">
        <w:rPr>
          <w:sz w:val="24"/>
          <w:szCs w:val="24"/>
        </w:rPr>
        <w:t>”</w:t>
      </w:r>
      <w:r w:rsidR="001A10C8" w:rsidRPr="007641DE">
        <w:rPr>
          <w:sz w:val="24"/>
          <w:szCs w:val="24"/>
        </w:rPr>
        <w:t>]</w:t>
      </w:r>
      <w:r w:rsidR="00BB3BB5" w:rsidRPr="007641DE">
        <w:rPr>
          <w:sz w:val="24"/>
          <w:szCs w:val="24"/>
        </w:rPr>
        <w:t>)</w:t>
      </w:r>
      <w:r w:rsidR="009238EF" w:rsidRPr="007641DE">
        <w:rPr>
          <w:sz w:val="24"/>
          <w:szCs w:val="24"/>
        </w:rPr>
        <w:t>.</w:t>
      </w:r>
    </w:p>
    <w:p w14:paraId="7F1949E1" w14:textId="77777777" w:rsidR="00572061" w:rsidRPr="007641DE" w:rsidRDefault="00572061"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1F85047" w14:textId="5D7EF004" w:rsidR="002F07FE" w:rsidRPr="007641DE" w:rsidRDefault="00572061"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641DE">
        <w:rPr>
          <w:sz w:val="24"/>
          <w:szCs w:val="24"/>
        </w:rPr>
        <w:tab/>
      </w:r>
      <w:r w:rsidR="00A76292" w:rsidRPr="007641DE">
        <w:rPr>
          <w:b/>
          <w:bCs/>
          <w:sz w:val="24"/>
          <w:szCs w:val="24"/>
        </w:rPr>
        <w:t>Subdivision (7)</w:t>
      </w:r>
      <w:r w:rsidR="008F5223" w:rsidRPr="007641DE">
        <w:rPr>
          <w:sz w:val="24"/>
          <w:szCs w:val="24"/>
        </w:rPr>
        <w:t>.</w:t>
      </w:r>
      <w:r w:rsidR="00FC01C3" w:rsidRPr="007641DE">
        <w:rPr>
          <w:sz w:val="24"/>
          <w:szCs w:val="24"/>
        </w:rPr>
        <w:t xml:space="preserve"> </w:t>
      </w:r>
      <w:r w:rsidR="006020CD" w:rsidRPr="007641DE">
        <w:rPr>
          <w:sz w:val="24"/>
          <w:szCs w:val="24"/>
        </w:rPr>
        <w:t>The rule set forth in this subdivision is derived from</w:t>
      </w:r>
      <w:r w:rsidR="00BB3BB5" w:rsidRPr="007641DE">
        <w:rPr>
          <w:sz w:val="24"/>
          <w:szCs w:val="24"/>
        </w:rPr>
        <w:t xml:space="preserve"> </w:t>
      </w:r>
      <w:r w:rsidR="002F07FE" w:rsidRPr="007641DE">
        <w:rPr>
          <w:i/>
          <w:iCs/>
          <w:sz w:val="24"/>
          <w:szCs w:val="24"/>
        </w:rPr>
        <w:t>People v Dow</w:t>
      </w:r>
      <w:r w:rsidR="002F07FE" w:rsidRPr="007641DE">
        <w:rPr>
          <w:sz w:val="24"/>
          <w:szCs w:val="24"/>
        </w:rPr>
        <w:t xml:space="preserve"> </w:t>
      </w:r>
      <w:r w:rsidR="00BB3BB5" w:rsidRPr="007641DE">
        <w:rPr>
          <w:sz w:val="24"/>
          <w:szCs w:val="24"/>
        </w:rPr>
        <w:t>(</w:t>
      </w:r>
      <w:r w:rsidR="002F07FE" w:rsidRPr="007641DE">
        <w:rPr>
          <w:sz w:val="24"/>
          <w:szCs w:val="24"/>
        </w:rPr>
        <w:t>3 AD2d 979, 979 [4th Dept 1957] [“There is a real distinction between a judge</w:t>
      </w:r>
      <w:r w:rsidR="000B6DA7" w:rsidRPr="007641DE">
        <w:rPr>
          <w:sz w:val="24"/>
          <w:szCs w:val="24"/>
        </w:rPr>
        <w:t>’</w:t>
      </w:r>
      <w:r w:rsidR="002F07FE" w:rsidRPr="007641DE">
        <w:rPr>
          <w:sz w:val="24"/>
          <w:szCs w:val="24"/>
        </w:rPr>
        <w:t>s personal knowledge as a private person and his knowledge as a judge</w:t>
      </w:r>
      <w:r w:rsidR="00FC01C3" w:rsidRPr="007641DE">
        <w:rPr>
          <w:sz w:val="24"/>
          <w:szCs w:val="24"/>
        </w:rPr>
        <w:t xml:space="preserve">. </w:t>
      </w:r>
      <w:r w:rsidR="002F07FE" w:rsidRPr="007641DE">
        <w:rPr>
          <w:sz w:val="24"/>
          <w:szCs w:val="24"/>
        </w:rPr>
        <w:t>As a judge he may have to ignore what he knows as an individual observer</w:t>
      </w:r>
      <w:proofErr w:type="gramStart"/>
      <w:r w:rsidR="002F07FE" w:rsidRPr="007641DE">
        <w:rPr>
          <w:sz w:val="24"/>
          <w:szCs w:val="24"/>
        </w:rPr>
        <w:t>. . . .</w:t>
      </w:r>
      <w:proofErr w:type="gramEnd"/>
      <w:r w:rsidR="002F07FE" w:rsidRPr="007641DE">
        <w:rPr>
          <w:sz w:val="24"/>
          <w:szCs w:val="24"/>
        </w:rPr>
        <w:t xml:space="preserve"> It is sometimes difficult to distinguish between knowledge of a fact by observation and knowledge of a fact by notoriety, that is, by common knowledge, but the distinction is an important one, for in the former case a judge may not take judicial notice of the fact, whereas in the latter he may”</w:t>
      </w:r>
      <w:r w:rsidR="001E59E6" w:rsidRPr="007641DE">
        <w:rPr>
          <w:sz w:val="24"/>
          <w:szCs w:val="24"/>
        </w:rPr>
        <w:t xml:space="preserve"> (citation omitted)])</w:t>
      </w:r>
      <w:r w:rsidR="0076239A" w:rsidRPr="007641DE">
        <w:rPr>
          <w:sz w:val="24"/>
          <w:szCs w:val="24"/>
        </w:rPr>
        <w:t>.</w:t>
      </w:r>
    </w:p>
    <w:p w14:paraId="48152909" w14:textId="77777777" w:rsidR="00E32770" w:rsidRPr="007641DE" w:rsidRDefault="00E32770" w:rsidP="00156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sectPr w:rsidR="00E32770" w:rsidRPr="007641DE" w:rsidSect="00EC48BF">
      <w:footerReference w:type="default" r:id="rId8"/>
      <w:endnotePr>
        <w:numFmt w:val="decimal"/>
      </w:endnotePr>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FDCE" w14:textId="77777777" w:rsidR="00FA660B" w:rsidRDefault="00FA660B">
      <w:r>
        <w:separator/>
      </w:r>
    </w:p>
  </w:endnote>
  <w:endnote w:type="continuationSeparator" w:id="0">
    <w:p w14:paraId="6FE3CFA3" w14:textId="77777777" w:rsidR="00FA660B" w:rsidRDefault="00FA660B">
      <w:r>
        <w:continuationSeparator/>
      </w:r>
    </w:p>
  </w:endnote>
  <w:endnote w:id="1">
    <w:p w14:paraId="1BDDA491" w14:textId="7A06BC54" w:rsidR="00E32770" w:rsidRPr="007641DE" w:rsidRDefault="00E32770" w:rsidP="0067283C">
      <w:pPr>
        <w:pStyle w:val="EndnoteText"/>
        <w:jc w:val="both"/>
      </w:pPr>
      <w:r w:rsidRPr="007641DE">
        <w:rPr>
          <w:rStyle w:val="EndnoteReference"/>
        </w:rPr>
        <w:endnoteRef/>
      </w:r>
      <w:r w:rsidRPr="007641DE">
        <w:t xml:space="preserve"> </w:t>
      </w:r>
      <w:r w:rsidRPr="007641DE">
        <w:rPr>
          <w:sz w:val="22"/>
          <w:szCs w:val="22"/>
        </w:rPr>
        <w:t xml:space="preserve">In </w:t>
      </w:r>
      <w:r w:rsidR="00E250BD" w:rsidRPr="007641DE">
        <w:rPr>
          <w:sz w:val="22"/>
          <w:szCs w:val="22"/>
        </w:rPr>
        <w:t>December</w:t>
      </w:r>
      <w:r w:rsidR="006F06FE" w:rsidRPr="007641DE">
        <w:rPr>
          <w:sz w:val="22"/>
          <w:szCs w:val="22"/>
        </w:rPr>
        <w:t xml:space="preserve"> </w:t>
      </w:r>
      <w:r w:rsidRPr="007641DE">
        <w:rPr>
          <w:sz w:val="22"/>
          <w:szCs w:val="22"/>
        </w:rPr>
        <w:t>2022, subdivision (5) was amended to add “appeal”; subdivision (6) was amended to</w:t>
      </w:r>
      <w:r w:rsidR="00B67394" w:rsidRPr="007641DE">
        <w:rPr>
          <w:sz w:val="22"/>
          <w:szCs w:val="22"/>
        </w:rPr>
        <w:t xml:space="preserve"> add</w:t>
      </w:r>
      <w:r w:rsidRPr="007641DE">
        <w:rPr>
          <w:sz w:val="22"/>
          <w:szCs w:val="22"/>
        </w:rPr>
        <w:t xml:space="preserve"> the phrase</w:t>
      </w:r>
      <w:r w:rsidR="003B45CB" w:rsidRPr="007641DE">
        <w:rPr>
          <w:sz w:val="22"/>
          <w:szCs w:val="22"/>
        </w:rPr>
        <w:t xml:space="preserve"> “</w:t>
      </w:r>
      <w:r w:rsidRPr="007641DE">
        <w:rPr>
          <w:sz w:val="22"/>
          <w:szCs w:val="22"/>
        </w:rPr>
        <w:t xml:space="preserve">pursuant to subdivision </w:t>
      </w:r>
      <w:r w:rsidR="00B013D3" w:rsidRPr="007641DE">
        <w:rPr>
          <w:sz w:val="22"/>
          <w:szCs w:val="22"/>
        </w:rPr>
        <w:t>two</w:t>
      </w:r>
      <w:r w:rsidR="003B45CB" w:rsidRPr="007641DE">
        <w:rPr>
          <w:sz w:val="22"/>
          <w:szCs w:val="22"/>
        </w:rPr>
        <w:t>”</w:t>
      </w:r>
      <w:r w:rsidRPr="007641DE">
        <w:rPr>
          <w:sz w:val="22"/>
          <w:szCs w:val="22"/>
        </w:rPr>
        <w:t>; and subdivision (7) was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57226"/>
      <w:docPartObj>
        <w:docPartGallery w:val="Page Numbers (Bottom of Page)"/>
        <w:docPartUnique/>
      </w:docPartObj>
    </w:sdtPr>
    <w:sdtEndPr>
      <w:rPr>
        <w:noProof/>
      </w:rPr>
    </w:sdtEndPr>
    <w:sdtContent>
      <w:p w14:paraId="03F6BD83" w14:textId="0B4548A3" w:rsidR="00EC48BF" w:rsidRDefault="00EC48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B4A9" w14:textId="77777777" w:rsidR="00FA660B" w:rsidRDefault="00FA660B">
      <w:r>
        <w:separator/>
      </w:r>
    </w:p>
  </w:footnote>
  <w:footnote w:type="continuationSeparator" w:id="0">
    <w:p w14:paraId="19B9BDF4" w14:textId="77777777" w:rsidR="00FA660B" w:rsidRDefault="00FA6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74D71"/>
    <w:multiLevelType w:val="multilevel"/>
    <w:tmpl w:val="53E625B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szAyMDcxNTI2sDBV0lEKTi0uzszPAykwqgUAFs99cSwAAAA="/>
  </w:docVars>
  <w:rsids>
    <w:rsidRoot w:val="009D3B6C"/>
    <w:rsid w:val="0006182E"/>
    <w:rsid w:val="0006610D"/>
    <w:rsid w:val="00095AAF"/>
    <w:rsid w:val="000B6DA7"/>
    <w:rsid w:val="000F52CA"/>
    <w:rsid w:val="001150A7"/>
    <w:rsid w:val="0015606B"/>
    <w:rsid w:val="0018569C"/>
    <w:rsid w:val="001A10C8"/>
    <w:rsid w:val="001E59E6"/>
    <w:rsid w:val="001F0E73"/>
    <w:rsid w:val="001F5BBD"/>
    <w:rsid w:val="00227F61"/>
    <w:rsid w:val="0023084A"/>
    <w:rsid w:val="00252FDB"/>
    <w:rsid w:val="00277852"/>
    <w:rsid w:val="002F07FE"/>
    <w:rsid w:val="00324168"/>
    <w:rsid w:val="00331487"/>
    <w:rsid w:val="003534AA"/>
    <w:rsid w:val="003B12AF"/>
    <w:rsid w:val="003B45CB"/>
    <w:rsid w:val="003E627C"/>
    <w:rsid w:val="00402EFA"/>
    <w:rsid w:val="00407B88"/>
    <w:rsid w:val="00433B2D"/>
    <w:rsid w:val="0043505D"/>
    <w:rsid w:val="0048760F"/>
    <w:rsid w:val="0055405D"/>
    <w:rsid w:val="00572061"/>
    <w:rsid w:val="005910D1"/>
    <w:rsid w:val="005C3126"/>
    <w:rsid w:val="005C77C7"/>
    <w:rsid w:val="006020CD"/>
    <w:rsid w:val="006246D1"/>
    <w:rsid w:val="006423C3"/>
    <w:rsid w:val="00663CB4"/>
    <w:rsid w:val="0067283C"/>
    <w:rsid w:val="006810B5"/>
    <w:rsid w:val="006E7D84"/>
    <w:rsid w:val="006F06FE"/>
    <w:rsid w:val="006F79DD"/>
    <w:rsid w:val="007455EC"/>
    <w:rsid w:val="0076239A"/>
    <w:rsid w:val="007641DE"/>
    <w:rsid w:val="00783893"/>
    <w:rsid w:val="00786E07"/>
    <w:rsid w:val="00796086"/>
    <w:rsid w:val="007A7608"/>
    <w:rsid w:val="007D367F"/>
    <w:rsid w:val="007E5B0B"/>
    <w:rsid w:val="007F5F36"/>
    <w:rsid w:val="00826617"/>
    <w:rsid w:val="0087507E"/>
    <w:rsid w:val="00880B15"/>
    <w:rsid w:val="008856D9"/>
    <w:rsid w:val="00887749"/>
    <w:rsid w:val="008B50F4"/>
    <w:rsid w:val="008C6431"/>
    <w:rsid w:val="008D5974"/>
    <w:rsid w:val="008F5223"/>
    <w:rsid w:val="009238EF"/>
    <w:rsid w:val="00972EAD"/>
    <w:rsid w:val="00985D8C"/>
    <w:rsid w:val="00994FC2"/>
    <w:rsid w:val="009960B1"/>
    <w:rsid w:val="009A5DC2"/>
    <w:rsid w:val="009D3B6C"/>
    <w:rsid w:val="00A1414C"/>
    <w:rsid w:val="00A47F19"/>
    <w:rsid w:val="00A50D40"/>
    <w:rsid w:val="00A6153B"/>
    <w:rsid w:val="00A76292"/>
    <w:rsid w:val="00A86FCF"/>
    <w:rsid w:val="00AA2ADB"/>
    <w:rsid w:val="00AB3441"/>
    <w:rsid w:val="00AF44FD"/>
    <w:rsid w:val="00B013D3"/>
    <w:rsid w:val="00B172F7"/>
    <w:rsid w:val="00B26BFF"/>
    <w:rsid w:val="00B47153"/>
    <w:rsid w:val="00B67394"/>
    <w:rsid w:val="00BA3922"/>
    <w:rsid w:val="00BB3BB5"/>
    <w:rsid w:val="00BE2147"/>
    <w:rsid w:val="00BE7B0A"/>
    <w:rsid w:val="00C33CED"/>
    <w:rsid w:val="00C5566D"/>
    <w:rsid w:val="00C76B40"/>
    <w:rsid w:val="00D13C15"/>
    <w:rsid w:val="00D3513D"/>
    <w:rsid w:val="00DB266F"/>
    <w:rsid w:val="00DB2B3E"/>
    <w:rsid w:val="00DC3412"/>
    <w:rsid w:val="00E146C2"/>
    <w:rsid w:val="00E250BD"/>
    <w:rsid w:val="00E32770"/>
    <w:rsid w:val="00E35614"/>
    <w:rsid w:val="00E408C1"/>
    <w:rsid w:val="00E653C1"/>
    <w:rsid w:val="00EC48BF"/>
    <w:rsid w:val="00F12B3F"/>
    <w:rsid w:val="00F3634A"/>
    <w:rsid w:val="00F42918"/>
    <w:rsid w:val="00FA660B"/>
    <w:rsid w:val="00FB615B"/>
    <w:rsid w:val="00FC01C3"/>
    <w:rsid w:val="00FC3FB7"/>
    <w:rsid w:val="00FF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BD405"/>
  <w14:defaultImageDpi w14:val="0"/>
  <w15:docId w15:val="{5F4E2685-4B7A-45ED-8A4E-F25E78C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uiPriority w:val="99"/>
    <w:pPr>
      <w:widowControl w:val="0"/>
      <w:autoSpaceDE w:val="0"/>
      <w:autoSpaceDN w:val="0"/>
      <w:adjustRightInd w:val="0"/>
      <w:spacing w:after="0" w:line="240" w:lineRule="auto"/>
      <w:ind w:left="4410" w:hanging="36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ind w:left="828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ind w:left="9000" w:hanging="18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ind w:left="9720" w:hanging="36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ind w:left="10440" w:hanging="36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ind w:left="11160" w:hanging="1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ind w:left="11880" w:hanging="36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ind w:left="1260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159" w:line="256" w:lineRule="auto"/>
      <w:ind w:left="720"/>
      <w:jc w:val="both"/>
    </w:pPr>
    <w:rPr>
      <w:rFonts w:ascii="Calibri" w:hAnsi="Calibri" w:cs="Calibri"/>
    </w:rPr>
  </w:style>
  <w:style w:type="paragraph" w:customStyle="1" w:styleId="L2-9">
    <w:name w:val="L2-9"/>
    <w:uiPriority w:val="99"/>
    <w:pPr>
      <w:widowControl w:val="0"/>
      <w:autoSpaceDE w:val="0"/>
      <w:autoSpaceDN w:val="0"/>
      <w:adjustRightInd w:val="0"/>
      <w:spacing w:after="0" w:line="240" w:lineRule="auto"/>
      <w:ind w:left="13320" w:hanging="180"/>
      <w:jc w:val="both"/>
    </w:pPr>
    <w:rPr>
      <w:rFonts w:ascii="Times New Roman" w:hAnsi="Times New Roman"/>
      <w:sz w:val="24"/>
      <w:szCs w:val="24"/>
    </w:rPr>
  </w:style>
  <w:style w:type="paragraph" w:styleId="Header">
    <w:name w:val="header"/>
    <w:basedOn w:val="Normal"/>
    <w:link w:val="HeaderChar"/>
    <w:uiPriority w:val="99"/>
    <w:unhideWhenUsed/>
    <w:rsid w:val="009D3B6C"/>
    <w:pPr>
      <w:tabs>
        <w:tab w:val="center" w:pos="4680"/>
        <w:tab w:val="right" w:pos="9360"/>
      </w:tabs>
    </w:pPr>
  </w:style>
  <w:style w:type="character" w:customStyle="1" w:styleId="HeaderChar">
    <w:name w:val="Header Char"/>
    <w:basedOn w:val="DefaultParagraphFont"/>
    <w:link w:val="Header"/>
    <w:uiPriority w:val="99"/>
    <w:locked/>
    <w:rsid w:val="009D3B6C"/>
    <w:rPr>
      <w:rFonts w:ascii="Times New Roman" w:hAnsi="Times New Roman" w:cs="Times New Roman"/>
      <w:sz w:val="20"/>
      <w:szCs w:val="20"/>
    </w:rPr>
  </w:style>
  <w:style w:type="paragraph" w:styleId="Footer">
    <w:name w:val="footer"/>
    <w:basedOn w:val="Normal"/>
    <w:link w:val="FooterChar"/>
    <w:uiPriority w:val="99"/>
    <w:unhideWhenUsed/>
    <w:rsid w:val="009D3B6C"/>
    <w:pPr>
      <w:tabs>
        <w:tab w:val="center" w:pos="4680"/>
        <w:tab w:val="right" w:pos="9360"/>
      </w:tabs>
    </w:pPr>
  </w:style>
  <w:style w:type="character" w:customStyle="1" w:styleId="FooterChar">
    <w:name w:val="Footer Char"/>
    <w:basedOn w:val="DefaultParagraphFont"/>
    <w:link w:val="Footer"/>
    <w:uiPriority w:val="99"/>
    <w:locked/>
    <w:rsid w:val="009D3B6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A7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08"/>
    <w:rPr>
      <w:rFonts w:ascii="Segoe UI" w:hAnsi="Segoe UI" w:cs="Segoe UI"/>
      <w:sz w:val="18"/>
      <w:szCs w:val="18"/>
    </w:rPr>
  </w:style>
  <w:style w:type="paragraph" w:styleId="ListParagraph">
    <w:name w:val="List Paragraph"/>
    <w:basedOn w:val="Normal"/>
    <w:uiPriority w:val="34"/>
    <w:qFormat/>
    <w:rsid w:val="001F5BBD"/>
    <w:pPr>
      <w:ind w:left="720"/>
      <w:contextualSpacing/>
    </w:pPr>
  </w:style>
  <w:style w:type="paragraph" w:styleId="EndnoteText">
    <w:name w:val="endnote text"/>
    <w:basedOn w:val="Normal"/>
    <w:link w:val="EndnoteTextChar"/>
    <w:uiPriority w:val="99"/>
    <w:semiHidden/>
    <w:unhideWhenUsed/>
    <w:rsid w:val="00E32770"/>
  </w:style>
  <w:style w:type="character" w:customStyle="1" w:styleId="EndnoteTextChar">
    <w:name w:val="Endnote Text Char"/>
    <w:basedOn w:val="DefaultParagraphFont"/>
    <w:link w:val="EndnoteText"/>
    <w:uiPriority w:val="99"/>
    <w:semiHidden/>
    <w:rsid w:val="00E32770"/>
    <w:rPr>
      <w:rFonts w:ascii="Times New Roman" w:hAnsi="Times New Roman"/>
      <w:sz w:val="20"/>
      <w:szCs w:val="20"/>
    </w:rPr>
  </w:style>
  <w:style w:type="character" w:styleId="EndnoteReference">
    <w:name w:val="endnote reference"/>
    <w:basedOn w:val="DefaultParagraphFont"/>
    <w:uiPriority w:val="99"/>
    <w:semiHidden/>
    <w:unhideWhenUsed/>
    <w:rsid w:val="00E32770"/>
    <w:rPr>
      <w:vertAlign w:val="superscript"/>
    </w:rPr>
  </w:style>
  <w:style w:type="character" w:styleId="CommentReference">
    <w:name w:val="annotation reference"/>
    <w:basedOn w:val="DefaultParagraphFont"/>
    <w:uiPriority w:val="99"/>
    <w:semiHidden/>
    <w:unhideWhenUsed/>
    <w:rsid w:val="00BA3922"/>
    <w:rPr>
      <w:sz w:val="16"/>
      <w:szCs w:val="16"/>
    </w:rPr>
  </w:style>
  <w:style w:type="paragraph" w:styleId="CommentText">
    <w:name w:val="annotation text"/>
    <w:basedOn w:val="Normal"/>
    <w:link w:val="CommentTextChar"/>
    <w:uiPriority w:val="99"/>
    <w:semiHidden/>
    <w:unhideWhenUsed/>
    <w:rsid w:val="00BA3922"/>
  </w:style>
  <w:style w:type="character" w:customStyle="1" w:styleId="CommentTextChar">
    <w:name w:val="Comment Text Char"/>
    <w:basedOn w:val="DefaultParagraphFont"/>
    <w:link w:val="CommentText"/>
    <w:uiPriority w:val="99"/>
    <w:semiHidden/>
    <w:rsid w:val="00BA392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3922"/>
    <w:rPr>
      <w:b/>
      <w:bCs/>
    </w:rPr>
  </w:style>
  <w:style w:type="character" w:customStyle="1" w:styleId="CommentSubjectChar">
    <w:name w:val="Comment Subject Char"/>
    <w:basedOn w:val="CommentTextChar"/>
    <w:link w:val="CommentSubject"/>
    <w:uiPriority w:val="99"/>
    <w:semiHidden/>
    <w:rsid w:val="00BA392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7564">
      <w:bodyDiv w:val="1"/>
      <w:marLeft w:val="0"/>
      <w:marRight w:val="0"/>
      <w:marTop w:val="0"/>
      <w:marBottom w:val="0"/>
      <w:divBdr>
        <w:top w:val="none" w:sz="0" w:space="0" w:color="auto"/>
        <w:left w:val="none" w:sz="0" w:space="0" w:color="auto"/>
        <w:bottom w:val="none" w:sz="0" w:space="0" w:color="auto"/>
        <w:right w:val="none" w:sz="0" w:space="0" w:color="auto"/>
      </w:divBdr>
      <w:divsChild>
        <w:div w:id="1616323500">
          <w:marLeft w:val="0"/>
          <w:marRight w:val="0"/>
          <w:marTop w:val="0"/>
          <w:marBottom w:val="0"/>
          <w:divBdr>
            <w:top w:val="none" w:sz="0" w:space="0" w:color="auto"/>
            <w:left w:val="none" w:sz="0" w:space="0" w:color="auto"/>
            <w:bottom w:val="none" w:sz="0" w:space="0" w:color="auto"/>
            <w:right w:val="none" w:sz="0" w:space="0" w:color="auto"/>
          </w:divBdr>
          <w:divsChild>
            <w:div w:id="1436751692">
              <w:marLeft w:val="0"/>
              <w:marRight w:val="0"/>
              <w:marTop w:val="0"/>
              <w:marBottom w:val="0"/>
              <w:divBdr>
                <w:top w:val="none" w:sz="0" w:space="0" w:color="auto"/>
                <w:left w:val="none" w:sz="0" w:space="0" w:color="auto"/>
                <w:bottom w:val="none" w:sz="0" w:space="0" w:color="auto"/>
                <w:right w:val="none" w:sz="0" w:space="0" w:color="auto"/>
              </w:divBdr>
              <w:divsChild>
                <w:div w:id="17306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4479">
      <w:bodyDiv w:val="1"/>
      <w:marLeft w:val="0"/>
      <w:marRight w:val="0"/>
      <w:marTop w:val="0"/>
      <w:marBottom w:val="0"/>
      <w:divBdr>
        <w:top w:val="none" w:sz="0" w:space="0" w:color="auto"/>
        <w:left w:val="none" w:sz="0" w:space="0" w:color="auto"/>
        <w:bottom w:val="none" w:sz="0" w:space="0" w:color="auto"/>
        <w:right w:val="none" w:sz="0" w:space="0" w:color="auto"/>
      </w:divBdr>
      <w:divsChild>
        <w:div w:id="567035751">
          <w:marLeft w:val="0"/>
          <w:marRight w:val="0"/>
          <w:marTop w:val="0"/>
          <w:marBottom w:val="0"/>
          <w:divBdr>
            <w:top w:val="none" w:sz="0" w:space="0" w:color="auto"/>
            <w:left w:val="none" w:sz="0" w:space="0" w:color="auto"/>
            <w:bottom w:val="none" w:sz="0" w:space="0" w:color="auto"/>
            <w:right w:val="none" w:sz="0" w:space="0" w:color="auto"/>
          </w:divBdr>
          <w:divsChild>
            <w:div w:id="252208900">
              <w:marLeft w:val="0"/>
              <w:marRight w:val="0"/>
              <w:marTop w:val="0"/>
              <w:marBottom w:val="0"/>
              <w:divBdr>
                <w:top w:val="none" w:sz="0" w:space="0" w:color="auto"/>
                <w:left w:val="none" w:sz="0" w:space="0" w:color="auto"/>
                <w:bottom w:val="none" w:sz="0" w:space="0" w:color="auto"/>
                <w:right w:val="none" w:sz="0" w:space="0" w:color="auto"/>
              </w:divBdr>
              <w:divsChild>
                <w:div w:id="880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7675">
      <w:bodyDiv w:val="1"/>
      <w:marLeft w:val="0"/>
      <w:marRight w:val="0"/>
      <w:marTop w:val="0"/>
      <w:marBottom w:val="0"/>
      <w:divBdr>
        <w:top w:val="none" w:sz="0" w:space="0" w:color="auto"/>
        <w:left w:val="none" w:sz="0" w:space="0" w:color="auto"/>
        <w:bottom w:val="none" w:sz="0" w:space="0" w:color="auto"/>
        <w:right w:val="none" w:sz="0" w:space="0" w:color="auto"/>
      </w:divBdr>
      <w:divsChild>
        <w:div w:id="1633174368">
          <w:marLeft w:val="0"/>
          <w:marRight w:val="0"/>
          <w:marTop w:val="0"/>
          <w:marBottom w:val="0"/>
          <w:divBdr>
            <w:top w:val="none" w:sz="0" w:space="0" w:color="auto"/>
            <w:left w:val="none" w:sz="0" w:space="0" w:color="auto"/>
            <w:bottom w:val="none" w:sz="0" w:space="0" w:color="auto"/>
            <w:right w:val="none" w:sz="0" w:space="0" w:color="auto"/>
          </w:divBdr>
          <w:divsChild>
            <w:div w:id="1956593511">
              <w:marLeft w:val="0"/>
              <w:marRight w:val="0"/>
              <w:marTop w:val="0"/>
              <w:marBottom w:val="0"/>
              <w:divBdr>
                <w:top w:val="none" w:sz="0" w:space="0" w:color="auto"/>
                <w:left w:val="none" w:sz="0" w:space="0" w:color="auto"/>
                <w:bottom w:val="none" w:sz="0" w:space="0" w:color="auto"/>
                <w:right w:val="none" w:sz="0" w:space="0" w:color="auto"/>
              </w:divBdr>
              <w:divsChild>
                <w:div w:id="8989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7659">
      <w:bodyDiv w:val="1"/>
      <w:marLeft w:val="0"/>
      <w:marRight w:val="0"/>
      <w:marTop w:val="0"/>
      <w:marBottom w:val="0"/>
      <w:divBdr>
        <w:top w:val="none" w:sz="0" w:space="0" w:color="auto"/>
        <w:left w:val="none" w:sz="0" w:space="0" w:color="auto"/>
        <w:bottom w:val="none" w:sz="0" w:space="0" w:color="auto"/>
        <w:right w:val="none" w:sz="0" w:space="0" w:color="auto"/>
      </w:divBdr>
      <w:divsChild>
        <w:div w:id="1997296415">
          <w:marLeft w:val="0"/>
          <w:marRight w:val="0"/>
          <w:marTop w:val="0"/>
          <w:marBottom w:val="0"/>
          <w:divBdr>
            <w:top w:val="none" w:sz="0" w:space="0" w:color="auto"/>
            <w:left w:val="none" w:sz="0" w:space="0" w:color="auto"/>
            <w:bottom w:val="none" w:sz="0" w:space="0" w:color="auto"/>
            <w:right w:val="none" w:sz="0" w:space="0" w:color="auto"/>
          </w:divBdr>
          <w:divsChild>
            <w:div w:id="317879774">
              <w:marLeft w:val="0"/>
              <w:marRight w:val="0"/>
              <w:marTop w:val="0"/>
              <w:marBottom w:val="0"/>
              <w:divBdr>
                <w:top w:val="none" w:sz="0" w:space="0" w:color="auto"/>
                <w:left w:val="none" w:sz="0" w:space="0" w:color="auto"/>
                <w:bottom w:val="none" w:sz="0" w:space="0" w:color="auto"/>
                <w:right w:val="none" w:sz="0" w:space="0" w:color="auto"/>
              </w:divBdr>
              <w:divsChild>
                <w:div w:id="20245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3020">
      <w:bodyDiv w:val="1"/>
      <w:marLeft w:val="0"/>
      <w:marRight w:val="0"/>
      <w:marTop w:val="0"/>
      <w:marBottom w:val="0"/>
      <w:divBdr>
        <w:top w:val="none" w:sz="0" w:space="0" w:color="auto"/>
        <w:left w:val="none" w:sz="0" w:space="0" w:color="auto"/>
        <w:bottom w:val="none" w:sz="0" w:space="0" w:color="auto"/>
        <w:right w:val="none" w:sz="0" w:space="0" w:color="auto"/>
      </w:divBdr>
      <w:divsChild>
        <w:div w:id="1080717146">
          <w:marLeft w:val="0"/>
          <w:marRight w:val="0"/>
          <w:marTop w:val="0"/>
          <w:marBottom w:val="0"/>
          <w:divBdr>
            <w:top w:val="none" w:sz="0" w:space="0" w:color="auto"/>
            <w:left w:val="none" w:sz="0" w:space="0" w:color="auto"/>
            <w:bottom w:val="none" w:sz="0" w:space="0" w:color="auto"/>
            <w:right w:val="none" w:sz="0" w:space="0" w:color="auto"/>
          </w:divBdr>
          <w:divsChild>
            <w:div w:id="528490957">
              <w:marLeft w:val="0"/>
              <w:marRight w:val="0"/>
              <w:marTop w:val="0"/>
              <w:marBottom w:val="0"/>
              <w:divBdr>
                <w:top w:val="none" w:sz="0" w:space="0" w:color="auto"/>
                <w:left w:val="none" w:sz="0" w:space="0" w:color="auto"/>
                <w:bottom w:val="none" w:sz="0" w:space="0" w:color="auto"/>
                <w:right w:val="none" w:sz="0" w:space="0" w:color="auto"/>
              </w:divBdr>
              <w:divsChild>
                <w:div w:id="14465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B9F67-235C-4A30-AB0E-29C4AA0A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4</Pages>
  <Words>1517</Words>
  <Characters>7572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82</cp:revision>
  <cp:lastPrinted>2018-12-29T20:24:00Z</cp:lastPrinted>
  <dcterms:created xsi:type="dcterms:W3CDTF">2022-05-16T19:10:00Z</dcterms:created>
  <dcterms:modified xsi:type="dcterms:W3CDTF">2022-11-21T14:51:00Z</dcterms:modified>
</cp:coreProperties>
</file>