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287F2" w14:textId="662C80A5" w:rsidR="006D3AC6" w:rsidRPr="00BC1FAB" w:rsidRDefault="006D3AC6" w:rsidP="008377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rPr>
          <w:b/>
          <w:bCs/>
          <w:sz w:val="28"/>
          <w:szCs w:val="28"/>
        </w:rPr>
      </w:pPr>
      <w:r w:rsidRPr="00BC1FAB">
        <w:rPr>
          <w:strike/>
          <w:sz w:val="28"/>
          <w:szCs w:val="28"/>
          <w:lang w:val="en-CA"/>
        </w:rPr>
        <w:fldChar w:fldCharType="begin"/>
      </w:r>
      <w:r w:rsidRPr="00BC1FAB">
        <w:rPr>
          <w:strike/>
          <w:sz w:val="28"/>
          <w:szCs w:val="28"/>
          <w:lang w:val="en-CA"/>
        </w:rPr>
        <w:instrText xml:space="preserve"> SEQ CHAPTER \h \r 1</w:instrText>
      </w:r>
      <w:r w:rsidRPr="00BC1FAB">
        <w:rPr>
          <w:strike/>
          <w:sz w:val="28"/>
          <w:szCs w:val="28"/>
          <w:lang w:val="en-CA"/>
        </w:rPr>
        <w:fldChar w:fldCharType="end"/>
      </w:r>
      <w:r w:rsidR="00743EB9" w:rsidRPr="00BC1FAB">
        <w:rPr>
          <w:b/>
          <w:bCs/>
          <w:sz w:val="28"/>
          <w:szCs w:val="28"/>
        </w:rPr>
        <w:t>4.0</w:t>
      </w:r>
      <w:r w:rsidR="005C234B" w:rsidRPr="00BC1FAB">
        <w:rPr>
          <w:b/>
          <w:bCs/>
          <w:sz w:val="28"/>
          <w:szCs w:val="28"/>
        </w:rPr>
        <w:t>7</w:t>
      </w:r>
      <w:r w:rsidR="006B37D3">
        <w:rPr>
          <w:b/>
          <w:bCs/>
          <w:sz w:val="28"/>
          <w:szCs w:val="28"/>
        </w:rPr>
        <w:t>.</w:t>
      </w:r>
      <w:r w:rsidR="00743EB9" w:rsidRPr="00BC1FAB">
        <w:rPr>
          <w:b/>
          <w:bCs/>
          <w:sz w:val="28"/>
          <w:szCs w:val="28"/>
        </w:rPr>
        <w:t xml:space="preserve"> </w:t>
      </w:r>
      <w:r w:rsidR="00ED4C9B" w:rsidRPr="00BC1FAB">
        <w:rPr>
          <w:b/>
          <w:bCs/>
          <w:sz w:val="28"/>
          <w:szCs w:val="28"/>
        </w:rPr>
        <w:t xml:space="preserve">Limited </w:t>
      </w:r>
      <w:r w:rsidRPr="00BC1FAB">
        <w:rPr>
          <w:b/>
          <w:bCs/>
          <w:sz w:val="28"/>
          <w:szCs w:val="28"/>
        </w:rPr>
        <w:t>Admissibility of Relevant Evidence</w:t>
      </w:r>
      <w:r w:rsidR="00347C55" w:rsidRPr="00BC1FAB">
        <w:rPr>
          <w:rStyle w:val="EndnoteReference"/>
          <w:b/>
          <w:bCs/>
          <w:sz w:val="28"/>
          <w:szCs w:val="28"/>
        </w:rPr>
        <w:endnoteReference w:id="1"/>
      </w:r>
    </w:p>
    <w:p w14:paraId="4F862767" w14:textId="05D9ED0C" w:rsidR="00154DBC" w:rsidRPr="00BC1FAB" w:rsidRDefault="00154DBC" w:rsidP="0083771E">
      <w:pPr>
        <w:widowControl/>
        <w:tabs>
          <w:tab w:val="left" w:pos="0"/>
          <w:tab w:val="left" w:pos="3600"/>
        </w:tabs>
        <w:rPr>
          <w:b/>
          <w:bCs/>
          <w:sz w:val="28"/>
          <w:szCs w:val="28"/>
        </w:rPr>
      </w:pPr>
    </w:p>
    <w:p w14:paraId="40D83D4E" w14:textId="2A886689" w:rsidR="006163AB" w:rsidRPr="00BC1FAB" w:rsidRDefault="006D3AC6" w:rsidP="0083771E">
      <w:pPr>
        <w:pStyle w:val="paragraph"/>
        <w:widowControl/>
        <w:tabs>
          <w:tab w:val="left" w:pos="720"/>
          <w:tab w:val="left" w:pos="1440"/>
          <w:tab w:val="left" w:pos="2160"/>
          <w:tab w:val="left" w:pos="2880"/>
          <w:tab w:val="left" w:pos="3600"/>
          <w:tab w:val="left" w:pos="4320"/>
          <w:tab w:val="left" w:pos="5040"/>
          <w:tab w:val="left" w:pos="5760"/>
          <w:tab w:val="left" w:pos="6480"/>
        </w:tabs>
        <w:ind w:left="720" w:right="720"/>
        <w:rPr>
          <w:b/>
          <w:bCs/>
          <w:sz w:val="28"/>
          <w:szCs w:val="28"/>
        </w:rPr>
      </w:pPr>
      <w:r w:rsidRPr="00BC1FAB">
        <w:rPr>
          <w:b/>
          <w:bCs/>
          <w:sz w:val="28"/>
          <w:szCs w:val="28"/>
        </w:rPr>
        <w:t>(1)</w:t>
      </w:r>
      <w:r w:rsidR="00CB4BDC" w:rsidRPr="00BC1FAB">
        <w:rPr>
          <w:b/>
          <w:bCs/>
          <w:sz w:val="28"/>
          <w:szCs w:val="28"/>
        </w:rPr>
        <w:t xml:space="preserve"> </w:t>
      </w:r>
      <w:r w:rsidRPr="00BC1FAB">
        <w:rPr>
          <w:b/>
          <w:bCs/>
          <w:sz w:val="28"/>
          <w:szCs w:val="28"/>
        </w:rPr>
        <w:t>Evidence may be admitted for one purpose but not for another, or as to one party but not as to another.</w:t>
      </w:r>
    </w:p>
    <w:p w14:paraId="290404AE" w14:textId="77777777" w:rsidR="006163AB" w:rsidRPr="00BC1FAB" w:rsidRDefault="006163AB" w:rsidP="00F727AD">
      <w:pPr>
        <w:pStyle w:val="paragraph"/>
        <w:widowControl/>
        <w:tabs>
          <w:tab w:val="left" w:pos="1440"/>
          <w:tab w:val="left" w:pos="2160"/>
          <w:tab w:val="left" w:pos="2880"/>
          <w:tab w:val="left" w:pos="3600"/>
          <w:tab w:val="left" w:pos="4320"/>
          <w:tab w:val="left" w:pos="5040"/>
          <w:tab w:val="left" w:pos="5760"/>
          <w:tab w:val="left" w:pos="6480"/>
        </w:tabs>
        <w:ind w:right="720"/>
        <w:rPr>
          <w:b/>
          <w:bCs/>
          <w:sz w:val="28"/>
          <w:szCs w:val="28"/>
        </w:rPr>
      </w:pPr>
    </w:p>
    <w:p w14:paraId="5AE55E6D" w14:textId="4DD265A4" w:rsidR="001F31E4" w:rsidRPr="00BC1FAB" w:rsidRDefault="006D3AC6" w:rsidP="0083771E">
      <w:pPr>
        <w:pStyle w:val="paragraph"/>
        <w:widowControl/>
        <w:tabs>
          <w:tab w:val="left" w:pos="720"/>
          <w:tab w:val="left" w:pos="1440"/>
          <w:tab w:val="left" w:pos="2160"/>
          <w:tab w:val="left" w:pos="2880"/>
          <w:tab w:val="left" w:pos="3600"/>
          <w:tab w:val="left" w:pos="4320"/>
          <w:tab w:val="left" w:pos="5040"/>
          <w:tab w:val="left" w:pos="5760"/>
          <w:tab w:val="left" w:pos="6480"/>
        </w:tabs>
        <w:ind w:left="720" w:right="720"/>
        <w:rPr>
          <w:b/>
          <w:bCs/>
          <w:sz w:val="28"/>
          <w:szCs w:val="28"/>
        </w:rPr>
      </w:pPr>
      <w:r w:rsidRPr="00BC1FAB">
        <w:rPr>
          <w:b/>
          <w:bCs/>
          <w:sz w:val="28"/>
          <w:szCs w:val="28"/>
        </w:rPr>
        <w:t>(2)</w:t>
      </w:r>
      <w:r w:rsidR="00CB4BDC" w:rsidRPr="00BC1FAB">
        <w:rPr>
          <w:b/>
          <w:bCs/>
          <w:sz w:val="28"/>
          <w:szCs w:val="28"/>
        </w:rPr>
        <w:t xml:space="preserve"> </w:t>
      </w:r>
      <w:r w:rsidRPr="00BC1FAB">
        <w:rPr>
          <w:b/>
          <w:bCs/>
          <w:sz w:val="28"/>
          <w:szCs w:val="28"/>
        </w:rPr>
        <w:t>In a trial by jury,</w:t>
      </w:r>
      <w:r w:rsidR="0011157C" w:rsidRPr="00BC1FAB">
        <w:rPr>
          <w:b/>
          <w:bCs/>
          <w:sz w:val="28"/>
          <w:szCs w:val="28"/>
        </w:rPr>
        <w:t xml:space="preserve"> </w:t>
      </w:r>
      <w:r w:rsidR="00D42188" w:rsidRPr="00BC1FAB">
        <w:rPr>
          <w:b/>
          <w:bCs/>
          <w:sz w:val="28"/>
          <w:szCs w:val="28"/>
        </w:rPr>
        <w:t xml:space="preserve">where evidence is admitted </w:t>
      </w:r>
      <w:r w:rsidR="003859C2" w:rsidRPr="00BC1FAB">
        <w:rPr>
          <w:b/>
          <w:bCs/>
          <w:sz w:val="28"/>
          <w:szCs w:val="28"/>
        </w:rPr>
        <w:t xml:space="preserve">pursuant to subdivision </w:t>
      </w:r>
      <w:r w:rsidR="009A0E21" w:rsidRPr="00BC1FAB">
        <w:rPr>
          <w:b/>
          <w:bCs/>
          <w:sz w:val="28"/>
          <w:szCs w:val="28"/>
        </w:rPr>
        <w:t>one</w:t>
      </w:r>
      <w:r w:rsidR="003859C2" w:rsidRPr="00BC1FAB">
        <w:rPr>
          <w:b/>
          <w:bCs/>
          <w:sz w:val="28"/>
          <w:szCs w:val="28"/>
        </w:rPr>
        <w:t xml:space="preserve">, </w:t>
      </w:r>
      <w:r w:rsidRPr="00BC1FAB">
        <w:rPr>
          <w:b/>
          <w:bCs/>
          <w:sz w:val="28"/>
          <w:szCs w:val="28"/>
        </w:rPr>
        <w:t xml:space="preserve">the court shall provide </w:t>
      </w:r>
      <w:r w:rsidR="00443AC6" w:rsidRPr="00BC1FAB">
        <w:rPr>
          <w:b/>
          <w:bCs/>
          <w:sz w:val="28"/>
          <w:szCs w:val="28"/>
        </w:rPr>
        <w:t xml:space="preserve">the jury </w:t>
      </w:r>
      <w:r w:rsidRPr="00BC1FAB">
        <w:rPr>
          <w:b/>
          <w:bCs/>
          <w:sz w:val="28"/>
          <w:szCs w:val="28"/>
        </w:rPr>
        <w:t xml:space="preserve">an instruction on the </w:t>
      </w:r>
      <w:r w:rsidR="00193E79" w:rsidRPr="00BC1FAB">
        <w:rPr>
          <w:b/>
          <w:bCs/>
          <w:sz w:val="28"/>
          <w:szCs w:val="28"/>
        </w:rPr>
        <w:t>limited applicability of the evidence.</w:t>
      </w:r>
    </w:p>
    <w:p w14:paraId="1F9BE1F5" w14:textId="77777777" w:rsidR="001F31E4" w:rsidRPr="00BC1FAB" w:rsidRDefault="001F31E4" w:rsidP="00F727AD">
      <w:pPr>
        <w:pStyle w:val="paragraph"/>
        <w:widowControl/>
        <w:tabs>
          <w:tab w:val="left" w:pos="720"/>
          <w:tab w:val="left" w:pos="1440"/>
          <w:tab w:val="left" w:pos="2160"/>
          <w:tab w:val="left" w:pos="2880"/>
          <w:tab w:val="left" w:pos="3600"/>
          <w:tab w:val="left" w:pos="4320"/>
          <w:tab w:val="left" w:pos="5040"/>
          <w:tab w:val="left" w:pos="5760"/>
          <w:tab w:val="left" w:pos="6480"/>
        </w:tabs>
        <w:ind w:right="720"/>
        <w:rPr>
          <w:b/>
          <w:bCs/>
          <w:sz w:val="28"/>
          <w:szCs w:val="28"/>
        </w:rPr>
      </w:pPr>
    </w:p>
    <w:p w14:paraId="1A31AA8B" w14:textId="6AA9382C" w:rsidR="006B23F4" w:rsidRPr="00BC1FAB" w:rsidRDefault="000129C1" w:rsidP="0083771E">
      <w:pPr>
        <w:pStyle w:val="paragraph"/>
        <w:widowControl/>
        <w:tabs>
          <w:tab w:val="left" w:pos="720"/>
          <w:tab w:val="left" w:pos="1440"/>
          <w:tab w:val="left" w:pos="2160"/>
          <w:tab w:val="left" w:pos="2880"/>
          <w:tab w:val="left" w:pos="3600"/>
          <w:tab w:val="left" w:pos="4320"/>
          <w:tab w:val="left" w:pos="5040"/>
          <w:tab w:val="left" w:pos="5760"/>
          <w:tab w:val="left" w:pos="6480"/>
        </w:tabs>
        <w:ind w:left="720" w:right="720"/>
        <w:rPr>
          <w:rFonts w:eastAsia="Times New Roman"/>
          <w:b/>
          <w:bCs/>
          <w:sz w:val="28"/>
          <w:szCs w:val="28"/>
          <w:lang w:bidi="en-US"/>
        </w:rPr>
      </w:pPr>
      <w:r w:rsidRPr="00BC1FAB">
        <w:rPr>
          <w:rFonts w:eastAsia="Times New Roman"/>
          <w:b/>
          <w:bCs/>
          <w:sz w:val="28"/>
          <w:szCs w:val="28"/>
          <w:lang w:bidi="en-US"/>
        </w:rPr>
        <w:t>(</w:t>
      </w:r>
      <w:r w:rsidR="001F31E4" w:rsidRPr="00BC1FAB">
        <w:rPr>
          <w:rFonts w:eastAsia="Times New Roman"/>
          <w:b/>
          <w:bCs/>
          <w:sz w:val="28"/>
          <w:szCs w:val="28"/>
          <w:lang w:bidi="en-US"/>
        </w:rPr>
        <w:t>3</w:t>
      </w:r>
      <w:r w:rsidRPr="00BC1FAB">
        <w:rPr>
          <w:rFonts w:eastAsia="Times New Roman"/>
          <w:b/>
          <w:bCs/>
          <w:sz w:val="28"/>
          <w:szCs w:val="28"/>
          <w:lang w:bidi="en-US"/>
        </w:rPr>
        <w:t xml:space="preserve">) </w:t>
      </w:r>
      <w:r w:rsidR="006B23F4" w:rsidRPr="00BC1FAB">
        <w:rPr>
          <w:rFonts w:eastAsia="Times New Roman"/>
          <w:b/>
          <w:bCs/>
          <w:sz w:val="28"/>
          <w:szCs w:val="28"/>
          <w:lang w:bidi="en-US"/>
        </w:rPr>
        <w:t xml:space="preserve">When a limiting instruction will not adequately protect a party, the court may exclude the evidence or take other </w:t>
      </w:r>
      <w:r w:rsidR="000438BE" w:rsidRPr="00BC1FAB">
        <w:rPr>
          <w:rFonts w:eastAsia="Times New Roman"/>
          <w:b/>
          <w:bCs/>
          <w:sz w:val="28"/>
          <w:szCs w:val="28"/>
          <w:lang w:bidi="en-US"/>
        </w:rPr>
        <w:t xml:space="preserve">appropriate </w:t>
      </w:r>
      <w:r w:rsidR="006B23F4" w:rsidRPr="00BC1FAB">
        <w:rPr>
          <w:rFonts w:eastAsia="Times New Roman"/>
          <w:b/>
          <w:bCs/>
          <w:sz w:val="28"/>
          <w:szCs w:val="28"/>
          <w:lang w:bidi="en-US"/>
        </w:rPr>
        <w:t>action</w:t>
      </w:r>
      <w:r w:rsidR="000438BE" w:rsidRPr="00BC1FAB">
        <w:rPr>
          <w:rFonts w:eastAsia="Times New Roman"/>
          <w:b/>
          <w:bCs/>
          <w:sz w:val="28"/>
          <w:szCs w:val="28"/>
          <w:lang w:bidi="en-US"/>
        </w:rPr>
        <w:t>.</w:t>
      </w:r>
    </w:p>
    <w:p w14:paraId="209216A0" w14:textId="77777777" w:rsidR="006D3AC6" w:rsidRPr="00BC1FAB" w:rsidRDefault="006D3AC6" w:rsidP="0083771E">
      <w:pPr>
        <w:pStyle w:val="paragraph"/>
        <w:widowControl/>
        <w:tabs>
          <w:tab w:val="left" w:pos="432"/>
          <w:tab w:val="left" w:pos="720"/>
          <w:tab w:val="left" w:pos="1440"/>
          <w:tab w:val="left" w:pos="2160"/>
          <w:tab w:val="left" w:pos="2880"/>
          <w:tab w:val="left" w:pos="3600"/>
          <w:tab w:val="left" w:pos="4320"/>
          <w:tab w:val="left" w:pos="5040"/>
          <w:tab w:val="left" w:pos="5760"/>
          <w:tab w:val="left" w:pos="6480"/>
          <w:tab w:val="left" w:pos="7200"/>
          <w:tab w:val="left" w:pos="7344"/>
        </w:tabs>
        <w:ind w:right="576"/>
        <w:rPr>
          <w:b/>
          <w:bCs/>
          <w:sz w:val="28"/>
          <w:szCs w:val="28"/>
        </w:rPr>
      </w:pPr>
    </w:p>
    <w:p w14:paraId="1F7AB75E" w14:textId="77777777" w:rsidR="006D3AC6" w:rsidRPr="00BC1FAB" w:rsidRDefault="006D3AC6" w:rsidP="0083771E">
      <w:pPr>
        <w:pStyle w:val="paragraph"/>
        <w:widowControl/>
        <w:tabs>
          <w:tab w:val="left" w:pos="2592"/>
          <w:tab w:val="left" w:pos="2880"/>
          <w:tab w:val="left" w:pos="3600"/>
          <w:tab w:val="left" w:pos="4320"/>
          <w:tab w:val="left" w:pos="5040"/>
          <w:tab w:val="left" w:pos="5760"/>
          <w:tab w:val="left" w:pos="6480"/>
          <w:tab w:val="left" w:pos="7200"/>
          <w:tab w:val="left" w:pos="7344"/>
        </w:tabs>
        <w:ind w:right="576"/>
        <w:jc w:val="center"/>
      </w:pPr>
      <w:r w:rsidRPr="00BC1FAB">
        <w:rPr>
          <w:rStyle w:val="normaltextru"/>
          <w:b/>
          <w:bCs/>
        </w:rPr>
        <w:t>N</w:t>
      </w:r>
      <w:r w:rsidR="00154DBC" w:rsidRPr="00BC1FAB">
        <w:rPr>
          <w:rStyle w:val="normaltextru"/>
          <w:b/>
          <w:bCs/>
        </w:rPr>
        <w:t>ote</w:t>
      </w:r>
    </w:p>
    <w:p w14:paraId="41D95050" w14:textId="77777777" w:rsidR="006D3AC6" w:rsidRPr="00BC1FAB" w:rsidRDefault="006D3AC6" w:rsidP="0083771E">
      <w:pPr>
        <w:pStyle w:val="paragraph"/>
        <w:widowControl/>
        <w:tabs>
          <w:tab w:val="left" w:pos="2592"/>
          <w:tab w:val="left" w:pos="2880"/>
          <w:tab w:val="left" w:pos="3600"/>
          <w:tab w:val="left" w:pos="4320"/>
          <w:tab w:val="left" w:pos="5040"/>
          <w:tab w:val="left" w:pos="5760"/>
          <w:tab w:val="left" w:pos="6480"/>
          <w:tab w:val="left" w:pos="7200"/>
          <w:tab w:val="left" w:pos="7344"/>
        </w:tabs>
        <w:ind w:right="576"/>
      </w:pPr>
    </w:p>
    <w:p w14:paraId="1BF40F43" w14:textId="60985687" w:rsidR="00741FA2" w:rsidRPr="00BC1FAB" w:rsidRDefault="00F727AD" w:rsidP="00F727AD">
      <w:pPr>
        <w:pStyle w:val="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rPr>
          <w:rFonts w:eastAsia="Times New Roman"/>
        </w:rPr>
      </w:pPr>
      <w:r w:rsidRPr="00BC1FAB">
        <w:rPr>
          <w:rStyle w:val="normaltextru"/>
          <w:b/>
        </w:rPr>
        <w:tab/>
      </w:r>
      <w:r w:rsidR="006D3AC6" w:rsidRPr="00BC1FAB">
        <w:rPr>
          <w:rStyle w:val="normaltextru"/>
          <w:b/>
        </w:rPr>
        <w:t>Subdivision</w:t>
      </w:r>
      <w:r w:rsidR="00C25D0D" w:rsidRPr="00BC1FAB">
        <w:rPr>
          <w:rStyle w:val="normaltextru"/>
          <w:b/>
        </w:rPr>
        <w:t>s</w:t>
      </w:r>
      <w:r w:rsidR="006D3AC6" w:rsidRPr="00BC1FAB">
        <w:rPr>
          <w:rStyle w:val="normaltextru"/>
          <w:b/>
        </w:rPr>
        <w:t xml:space="preserve"> (1)</w:t>
      </w:r>
      <w:r w:rsidR="00B324B6" w:rsidRPr="00BC1FAB">
        <w:rPr>
          <w:rStyle w:val="normaltextru"/>
          <w:b/>
        </w:rPr>
        <w:t xml:space="preserve"> and (2)</w:t>
      </w:r>
      <w:r w:rsidR="00152FB2" w:rsidRPr="00BC1FAB">
        <w:rPr>
          <w:rStyle w:val="normaltextru"/>
        </w:rPr>
        <w:t xml:space="preserve">.  </w:t>
      </w:r>
      <w:r w:rsidR="006D3AC6" w:rsidRPr="00BC1FAB">
        <w:rPr>
          <w:rStyle w:val="normaltextru"/>
        </w:rPr>
        <w:t>This rule is derived from Court of Appeals precedent holding that evidence is admissible as to any party or for any relevant purpose even though it may be inadmissible as to another party or for another purpose</w:t>
      </w:r>
      <w:r w:rsidR="002F3511" w:rsidRPr="00BC1FAB">
        <w:rPr>
          <w:rStyle w:val="normaltextru"/>
        </w:rPr>
        <w:t xml:space="preserve">.  </w:t>
      </w:r>
      <w:r w:rsidR="006D3AC6" w:rsidRPr="00BC1FAB">
        <w:rPr>
          <w:rStyle w:val="normaltextru"/>
        </w:rPr>
        <w:t>In such circumstances, jury instructions as to the limited purpose for which the evidence may be considered are appropriate</w:t>
      </w:r>
      <w:r w:rsidR="002F3511" w:rsidRPr="00BC1FAB">
        <w:rPr>
          <w:rStyle w:val="normaltextru"/>
        </w:rPr>
        <w:t xml:space="preserve">.  </w:t>
      </w:r>
      <w:r w:rsidR="006D3AC6" w:rsidRPr="00BC1FAB">
        <w:rPr>
          <w:rStyle w:val="normaltextru"/>
        </w:rPr>
        <w:t>(</w:t>
      </w:r>
      <w:r w:rsidR="006D3AC6" w:rsidRPr="00BC1FAB">
        <w:rPr>
          <w:rStyle w:val="normaltextru"/>
          <w:i/>
          <w:iCs/>
        </w:rPr>
        <w:t>Kish v Board of Educ. of City of N.Y.</w:t>
      </w:r>
      <w:r w:rsidR="00905642" w:rsidRPr="00BC1FAB">
        <w:rPr>
          <w:rStyle w:val="normaltextru"/>
        </w:rPr>
        <w:t xml:space="preserve">, </w:t>
      </w:r>
      <w:r w:rsidR="006D3AC6" w:rsidRPr="00BC1FAB">
        <w:rPr>
          <w:rStyle w:val="normaltextru"/>
        </w:rPr>
        <w:t>76 NY2d 379, 385</w:t>
      </w:r>
      <w:r w:rsidR="006D3AC6" w:rsidRPr="00BC1FAB">
        <w:t xml:space="preserve"> [1990] [</w:t>
      </w:r>
      <w:r w:rsidR="00DC25E4" w:rsidRPr="00BC1FAB">
        <w:t xml:space="preserve">admission of evidence for a </w:t>
      </w:r>
      <w:r w:rsidR="006D3AC6" w:rsidRPr="00BC1FAB">
        <w:t>limited purpose</w:t>
      </w:r>
      <w:r w:rsidR="00DC25E4" w:rsidRPr="00BC1FAB">
        <w:t xml:space="preserve"> with an appropriate </w:t>
      </w:r>
      <w:r w:rsidR="003D0113" w:rsidRPr="00BC1FAB">
        <w:t>instruction to the jury in the court’s final instructions</w:t>
      </w:r>
      <w:r w:rsidR="006D3AC6" w:rsidRPr="00BC1FAB">
        <w:t xml:space="preserve">]; </w:t>
      </w:r>
      <w:r w:rsidR="006D3AC6" w:rsidRPr="00BC1FAB">
        <w:rPr>
          <w:i/>
          <w:iCs/>
        </w:rPr>
        <w:t>People v Williams</w:t>
      </w:r>
      <w:r w:rsidR="006D3AC6" w:rsidRPr="00BC1FAB">
        <w:t>, 50 NY2d 996, 998 [1980] [</w:t>
      </w:r>
      <w:r w:rsidR="00CB355B" w:rsidRPr="00BC1FAB">
        <w:t xml:space="preserve">evidence was admitted for a </w:t>
      </w:r>
      <w:r w:rsidR="006D3AC6" w:rsidRPr="00BC1FAB">
        <w:t>limited purpose</w:t>
      </w:r>
      <w:r w:rsidR="00CB355B" w:rsidRPr="00BC1FAB">
        <w:t xml:space="preserve"> and </w:t>
      </w:r>
      <w:r w:rsidR="00B0645F" w:rsidRPr="00BC1FAB">
        <w:t xml:space="preserve">in this case </w:t>
      </w:r>
      <w:r w:rsidR="008B34EA" w:rsidRPr="00BC1FAB">
        <w:t>the trial court should have</w:t>
      </w:r>
      <w:r w:rsidR="008C139C" w:rsidRPr="00BC1FAB">
        <w:t>,</w:t>
      </w:r>
      <w:r w:rsidR="008B34EA" w:rsidRPr="00BC1FAB">
        <w:t xml:space="preserve"> “</w:t>
      </w:r>
      <w:r w:rsidR="00E53BC9" w:rsidRPr="00BC1FAB">
        <w:rPr>
          <w:rFonts w:eastAsia="Times New Roman"/>
        </w:rPr>
        <w:t xml:space="preserve">when </w:t>
      </w:r>
      <w:r w:rsidR="00964533" w:rsidRPr="00BC1FAB">
        <w:rPr>
          <w:rFonts w:eastAsia="Times New Roman"/>
        </w:rPr>
        <w:t>(</w:t>
      </w:r>
      <w:r w:rsidR="002842D5" w:rsidRPr="00BC1FAB">
        <w:rPr>
          <w:rFonts w:eastAsia="Times New Roman"/>
        </w:rPr>
        <w:t>the</w:t>
      </w:r>
      <w:r w:rsidR="00964533" w:rsidRPr="00BC1FAB">
        <w:rPr>
          <w:rFonts w:eastAsia="Times New Roman"/>
        </w:rPr>
        <w:t>)</w:t>
      </w:r>
      <w:r w:rsidR="002842D5" w:rsidRPr="00BC1FAB">
        <w:rPr>
          <w:rFonts w:eastAsia="Times New Roman"/>
        </w:rPr>
        <w:t xml:space="preserve"> </w:t>
      </w:r>
      <w:r w:rsidR="00E53BC9" w:rsidRPr="00BC1FAB">
        <w:rPr>
          <w:rFonts w:eastAsia="Times New Roman"/>
        </w:rPr>
        <w:t xml:space="preserve">evidence </w:t>
      </w:r>
      <w:r w:rsidR="00964533" w:rsidRPr="00BC1FAB">
        <w:rPr>
          <w:rFonts w:eastAsia="Times New Roman"/>
        </w:rPr>
        <w:t>(</w:t>
      </w:r>
      <w:r w:rsidR="002842D5" w:rsidRPr="00BC1FAB">
        <w:rPr>
          <w:rFonts w:eastAsia="Times New Roman"/>
        </w:rPr>
        <w:t>came</w:t>
      </w:r>
      <w:r w:rsidR="00964533" w:rsidRPr="00BC1FAB">
        <w:rPr>
          <w:rFonts w:eastAsia="Times New Roman"/>
        </w:rPr>
        <w:t>)</w:t>
      </w:r>
      <w:r w:rsidR="00E53BC9" w:rsidRPr="00BC1FAB">
        <w:rPr>
          <w:rFonts w:eastAsia="Times New Roman"/>
        </w:rPr>
        <w:t xml:space="preserve"> in and again in its charge at the end of the case, caution</w:t>
      </w:r>
      <w:r w:rsidR="00964533" w:rsidRPr="00BC1FAB">
        <w:rPr>
          <w:rFonts w:eastAsia="Times New Roman"/>
        </w:rPr>
        <w:t>(</w:t>
      </w:r>
      <w:r w:rsidR="003402E6" w:rsidRPr="00BC1FAB">
        <w:rPr>
          <w:rFonts w:eastAsia="Times New Roman"/>
        </w:rPr>
        <w:t>ed</w:t>
      </w:r>
      <w:r w:rsidR="00964533" w:rsidRPr="00BC1FAB">
        <w:rPr>
          <w:rFonts w:eastAsia="Times New Roman"/>
        </w:rPr>
        <w:t>)</w:t>
      </w:r>
      <w:r w:rsidR="00E53BC9" w:rsidRPr="00BC1FAB">
        <w:rPr>
          <w:rFonts w:eastAsia="Times New Roman"/>
        </w:rPr>
        <w:t xml:space="preserve"> the jury concerning the limited purpose for which it is being admitted</w:t>
      </w:r>
      <w:r w:rsidR="00DE3D38" w:rsidRPr="00BC1FAB">
        <w:t>”</w:t>
      </w:r>
      <w:r w:rsidR="006D3AC6" w:rsidRPr="00BC1FAB">
        <w:t xml:space="preserve">]; </w:t>
      </w:r>
      <w:r w:rsidR="006D3AC6" w:rsidRPr="00BC1FAB">
        <w:rPr>
          <w:i/>
          <w:iCs/>
        </w:rPr>
        <w:t>People v Marshall</w:t>
      </w:r>
      <w:r w:rsidR="006D3AC6" w:rsidRPr="00BC1FAB">
        <w:t>, 306 NY 223, 227 [1954] [</w:t>
      </w:r>
      <w:r w:rsidR="00C01D04" w:rsidRPr="00BC1FAB">
        <w:t xml:space="preserve">evidence </w:t>
      </w:r>
      <w:r w:rsidR="006D3AC6" w:rsidRPr="00BC1FAB">
        <w:t>admissible a</w:t>
      </w:r>
      <w:r w:rsidR="00905642" w:rsidRPr="00BC1FAB">
        <w:t>s to one defendant but not a co</w:t>
      </w:r>
      <w:r w:rsidR="006D3AC6" w:rsidRPr="00BC1FAB">
        <w:t>defendant]</w:t>
      </w:r>
      <w:r w:rsidR="008C139C" w:rsidRPr="00BC1FAB">
        <w:t>;</w:t>
      </w:r>
      <w:r w:rsidR="0031731F" w:rsidRPr="00BC1FAB">
        <w:t xml:space="preserve"> </w:t>
      </w:r>
      <w:r w:rsidR="008C139C" w:rsidRPr="00BC1FAB">
        <w:rPr>
          <w:rFonts w:eastAsia="Times New Roman"/>
          <w:i/>
          <w:iCs/>
        </w:rPr>
        <w:t>c</w:t>
      </w:r>
      <w:r w:rsidR="00C01D04" w:rsidRPr="00BC1FAB">
        <w:rPr>
          <w:rFonts w:eastAsia="Times New Roman"/>
          <w:i/>
          <w:iCs/>
        </w:rPr>
        <w:t>f.</w:t>
      </w:r>
      <w:r w:rsidR="00C01D04" w:rsidRPr="00BC1FAB">
        <w:rPr>
          <w:rFonts w:eastAsia="Times New Roman"/>
        </w:rPr>
        <w:t xml:space="preserve"> </w:t>
      </w:r>
      <w:r w:rsidR="00C01D04" w:rsidRPr="00BC1FAB">
        <w:rPr>
          <w:rFonts w:eastAsia="Times New Roman"/>
          <w:i/>
          <w:lang w:val="x-none"/>
        </w:rPr>
        <w:t>People</w:t>
      </w:r>
      <w:r w:rsidR="00C01D04" w:rsidRPr="00BC1FAB">
        <w:rPr>
          <w:rFonts w:eastAsia="Times New Roman"/>
          <w:i/>
        </w:rPr>
        <w:t xml:space="preserve"> </w:t>
      </w:r>
      <w:r w:rsidR="00C01D04" w:rsidRPr="00BC1FAB">
        <w:rPr>
          <w:rFonts w:eastAsia="Times New Roman"/>
          <w:i/>
          <w:lang w:val="x-none"/>
        </w:rPr>
        <w:t>v Warren</w:t>
      </w:r>
      <w:r w:rsidR="00C01D04" w:rsidRPr="00BC1FAB">
        <w:rPr>
          <w:rFonts w:eastAsia="Times New Roman"/>
          <w:iCs/>
          <w:lang w:val="x-none"/>
        </w:rPr>
        <w:t>,</w:t>
      </w:r>
      <w:r w:rsidR="00C01D04" w:rsidRPr="00BC1FAB">
        <w:rPr>
          <w:rFonts w:eastAsia="Times New Roman"/>
          <w:i/>
          <w:lang w:val="x-none"/>
        </w:rPr>
        <w:t xml:space="preserve"> </w:t>
      </w:r>
      <w:r w:rsidR="00C01D04" w:rsidRPr="00BC1FAB">
        <w:rPr>
          <w:rFonts w:eastAsia="Times New Roman"/>
          <w:lang w:val="x-none"/>
        </w:rPr>
        <w:t>20 NY3d 393</w:t>
      </w:r>
      <w:r w:rsidR="00C01D04" w:rsidRPr="00BC1FAB">
        <w:rPr>
          <w:rFonts w:eastAsia="Times New Roman"/>
        </w:rPr>
        <w:t xml:space="preserve"> [</w:t>
      </w:r>
      <w:r w:rsidR="00C01D04" w:rsidRPr="00BC1FAB">
        <w:rPr>
          <w:rFonts w:eastAsia="Times New Roman"/>
          <w:lang w:val="x-none"/>
        </w:rPr>
        <w:t>2013</w:t>
      </w:r>
      <w:r w:rsidR="00C01D04" w:rsidRPr="00BC1FAB">
        <w:rPr>
          <w:rFonts w:eastAsia="Times New Roman"/>
        </w:rPr>
        <w:t xml:space="preserve">] [in a simultaneous trial of codefendants, with defendant </w:t>
      </w:r>
      <w:r w:rsidR="0031731F" w:rsidRPr="00BC1FAB">
        <w:rPr>
          <w:rFonts w:eastAsia="Times New Roman"/>
        </w:rPr>
        <w:t>#1</w:t>
      </w:r>
      <w:r w:rsidR="00C01D04" w:rsidRPr="00BC1FAB">
        <w:rPr>
          <w:rFonts w:eastAsia="Times New Roman"/>
        </w:rPr>
        <w:t xml:space="preserve"> being tried by jury and defendant </w:t>
      </w:r>
      <w:r w:rsidR="0031731F" w:rsidRPr="00BC1FAB">
        <w:rPr>
          <w:rFonts w:eastAsia="Times New Roman"/>
        </w:rPr>
        <w:t>#2</w:t>
      </w:r>
      <w:r w:rsidR="00C01D04" w:rsidRPr="00BC1FAB">
        <w:rPr>
          <w:rFonts w:eastAsia="Times New Roman"/>
        </w:rPr>
        <w:t xml:space="preserve"> by the judge, the trial judge erred in not granting the motion of defendant </w:t>
      </w:r>
      <w:r w:rsidR="0031731F" w:rsidRPr="00BC1FAB">
        <w:rPr>
          <w:rFonts w:eastAsia="Times New Roman"/>
        </w:rPr>
        <w:t>#1</w:t>
      </w:r>
      <w:r w:rsidR="00C01D04" w:rsidRPr="00BC1FAB">
        <w:rPr>
          <w:rFonts w:eastAsia="Times New Roman"/>
        </w:rPr>
        <w:t xml:space="preserve"> that the jury be excused when defendant </w:t>
      </w:r>
      <w:r w:rsidR="0031731F" w:rsidRPr="00BC1FAB">
        <w:rPr>
          <w:rFonts w:eastAsia="Times New Roman"/>
        </w:rPr>
        <w:t xml:space="preserve">#2 </w:t>
      </w:r>
      <w:r w:rsidR="00C01D04" w:rsidRPr="00BC1FAB">
        <w:rPr>
          <w:rFonts w:eastAsia="Times New Roman"/>
        </w:rPr>
        <w:t>testified in his own behalf</w:t>
      </w:r>
      <w:r w:rsidR="00F97DFB" w:rsidRPr="00BC1FAB">
        <w:rPr>
          <w:rFonts w:eastAsia="Times New Roman"/>
        </w:rPr>
        <w:t>]</w:t>
      </w:r>
      <w:r w:rsidR="00C01D04" w:rsidRPr="00BC1FAB">
        <w:rPr>
          <w:rFonts w:eastAsia="Times New Roman"/>
        </w:rPr>
        <w:t>.</w:t>
      </w:r>
      <w:r w:rsidR="0031731F" w:rsidRPr="00BC1FAB">
        <w:rPr>
          <w:rFonts w:eastAsia="Times New Roman"/>
        </w:rPr>
        <w:t>)</w:t>
      </w:r>
      <w:r w:rsidR="001915EB" w:rsidRPr="00BC1FAB">
        <w:rPr>
          <w:rFonts w:eastAsia="Times New Roman"/>
        </w:rPr>
        <w:t xml:space="preserve"> </w:t>
      </w:r>
      <w:r w:rsidR="00741FA2" w:rsidRPr="00BC1FAB">
        <w:rPr>
          <w:rFonts w:eastAsia="Calibri"/>
        </w:rPr>
        <w:t xml:space="preserve">The aim of </w:t>
      </w:r>
      <w:r w:rsidR="009978D9" w:rsidRPr="00BC1FAB">
        <w:rPr>
          <w:rFonts w:eastAsia="Calibri"/>
        </w:rPr>
        <w:t xml:space="preserve">the </w:t>
      </w:r>
      <w:r w:rsidR="00741FA2" w:rsidRPr="00BC1FAB">
        <w:rPr>
          <w:rFonts w:eastAsia="Calibri"/>
        </w:rPr>
        <w:t>limited admissibility rule</w:t>
      </w:r>
      <w:r w:rsidR="001915EB" w:rsidRPr="00BC1FAB">
        <w:rPr>
          <w:rFonts w:eastAsia="Calibri"/>
        </w:rPr>
        <w:t xml:space="preserve"> “</w:t>
      </w:r>
      <w:r w:rsidR="00741FA2" w:rsidRPr="00BC1FAB">
        <w:rPr>
          <w:rFonts w:eastAsia="Calibri"/>
        </w:rPr>
        <w:t xml:space="preserve">is, insofar as possible, to assure that evidence admitted for a limited purpose will not be improperly applied beyond that purpose by the jury.” </w:t>
      </w:r>
      <w:r w:rsidR="005A7D68" w:rsidRPr="00BC1FAB">
        <w:rPr>
          <w:rFonts w:eastAsia="Calibri"/>
        </w:rPr>
        <w:t>(</w:t>
      </w:r>
      <w:r w:rsidR="00741FA2" w:rsidRPr="00BC1FAB">
        <w:rPr>
          <w:rFonts w:eastAsia="Calibri"/>
        </w:rPr>
        <w:t>Proposed NY Code of Evidence</w:t>
      </w:r>
      <w:r w:rsidR="005A7D68" w:rsidRPr="00BC1FAB">
        <w:rPr>
          <w:rFonts w:eastAsia="Calibri"/>
        </w:rPr>
        <w:t xml:space="preserve"> §</w:t>
      </w:r>
      <w:r w:rsidR="00741FA2" w:rsidRPr="00BC1FAB">
        <w:rPr>
          <w:rFonts w:eastAsia="Calibri"/>
        </w:rPr>
        <w:t xml:space="preserve"> 105</w:t>
      </w:r>
      <w:r w:rsidR="005A7D68" w:rsidRPr="00BC1FAB">
        <w:rPr>
          <w:rFonts w:eastAsia="Calibri"/>
        </w:rPr>
        <w:t>, Comment [1991]</w:t>
      </w:r>
      <w:r w:rsidR="00741FA2" w:rsidRPr="00BC1FAB">
        <w:rPr>
          <w:rFonts w:eastAsia="Calibri"/>
        </w:rPr>
        <w:t>.</w:t>
      </w:r>
      <w:r w:rsidR="005A7D68" w:rsidRPr="00BC1FAB">
        <w:rPr>
          <w:rFonts w:eastAsia="Calibri"/>
        </w:rPr>
        <w:t>)</w:t>
      </w:r>
    </w:p>
    <w:p w14:paraId="7CFA4664" w14:textId="77777777" w:rsidR="00741FA2" w:rsidRPr="00BC1FAB" w:rsidRDefault="00741FA2" w:rsidP="0083771E">
      <w:pPr>
        <w:widowControl/>
        <w:shd w:val="clear" w:color="auto" w:fill="FFFFFF"/>
        <w:autoSpaceDE/>
        <w:autoSpaceDN/>
        <w:adjustRightInd/>
        <w:jc w:val="both"/>
        <w:rPr>
          <w:rFonts w:eastAsia="Times New Roman"/>
          <w:sz w:val="24"/>
          <w:szCs w:val="24"/>
        </w:rPr>
      </w:pPr>
    </w:p>
    <w:p w14:paraId="4E2341CC" w14:textId="36A6199C" w:rsidR="00F44111" w:rsidRPr="00BC1FAB" w:rsidRDefault="00741FA2" w:rsidP="0083771E">
      <w:pPr>
        <w:widowControl/>
        <w:snapToGrid w:val="0"/>
        <w:jc w:val="both"/>
        <w:rPr>
          <w:rFonts w:eastAsia="Times New Roman"/>
          <w:sz w:val="24"/>
          <w:szCs w:val="24"/>
        </w:rPr>
      </w:pPr>
      <w:r w:rsidRPr="00BC1FAB">
        <w:rPr>
          <w:rFonts w:eastAsia="Times New Roman"/>
          <w:sz w:val="24"/>
          <w:szCs w:val="24"/>
        </w:rPr>
        <w:tab/>
      </w:r>
      <w:r w:rsidRPr="00BC1FAB">
        <w:rPr>
          <w:rFonts w:eastAsia="Calibri"/>
          <w:sz w:val="24"/>
          <w:szCs w:val="24"/>
        </w:rPr>
        <w:t xml:space="preserve">In </w:t>
      </w:r>
      <w:r w:rsidRPr="00BC1FAB">
        <w:rPr>
          <w:rFonts w:eastAsia="Calibri"/>
          <w:i/>
          <w:iCs/>
          <w:sz w:val="24"/>
          <w:szCs w:val="24"/>
        </w:rPr>
        <w:t>People v Patterson</w:t>
      </w:r>
      <w:r w:rsidRPr="00BC1FAB">
        <w:rPr>
          <w:rFonts w:eastAsia="Calibri"/>
          <w:sz w:val="24"/>
          <w:szCs w:val="24"/>
        </w:rPr>
        <w:t xml:space="preserve"> </w:t>
      </w:r>
      <w:r w:rsidR="00F43AB0" w:rsidRPr="00BC1FAB">
        <w:rPr>
          <w:rFonts w:eastAsia="Calibri"/>
          <w:sz w:val="24"/>
          <w:szCs w:val="24"/>
        </w:rPr>
        <w:t>(</w:t>
      </w:r>
      <w:r w:rsidRPr="00BC1FAB">
        <w:rPr>
          <w:rFonts w:eastAsia="Calibri"/>
          <w:sz w:val="24"/>
          <w:szCs w:val="24"/>
        </w:rPr>
        <w:t>48 AD2d 933, 933 [2d Dept 1975]</w:t>
      </w:r>
      <w:r w:rsidR="00F43AB0" w:rsidRPr="00BC1FAB">
        <w:rPr>
          <w:rFonts w:eastAsia="Calibri"/>
          <w:sz w:val="24"/>
          <w:szCs w:val="24"/>
        </w:rPr>
        <w:t>)</w:t>
      </w:r>
      <w:r w:rsidR="00B66240">
        <w:rPr>
          <w:rFonts w:eastAsia="Calibri"/>
          <w:sz w:val="24"/>
          <w:szCs w:val="24"/>
        </w:rPr>
        <w:t>,</w:t>
      </w:r>
      <w:r w:rsidRPr="00BC1FAB">
        <w:rPr>
          <w:rFonts w:eastAsia="Calibri"/>
          <w:sz w:val="24"/>
          <w:szCs w:val="24"/>
        </w:rPr>
        <w:t xml:space="preserve"> the </w:t>
      </w:r>
      <w:r w:rsidR="00F43AB0" w:rsidRPr="00BC1FAB">
        <w:rPr>
          <w:rFonts w:eastAsia="Calibri"/>
          <w:sz w:val="24"/>
          <w:szCs w:val="24"/>
        </w:rPr>
        <w:t>C</w:t>
      </w:r>
      <w:r w:rsidRPr="00BC1FAB">
        <w:rPr>
          <w:rFonts w:eastAsia="Calibri"/>
          <w:sz w:val="24"/>
          <w:szCs w:val="24"/>
        </w:rPr>
        <w:t xml:space="preserve">ourt reversed a judgment on the law because </w:t>
      </w:r>
      <w:r w:rsidR="00072265" w:rsidRPr="00BC1FAB">
        <w:rPr>
          <w:rFonts w:eastAsia="Times New Roman"/>
          <w:sz w:val="24"/>
          <w:szCs w:val="24"/>
        </w:rPr>
        <w:t>t</w:t>
      </w:r>
      <w:r w:rsidR="00760F84" w:rsidRPr="00BC1FAB">
        <w:rPr>
          <w:rFonts w:eastAsia="Times New Roman"/>
          <w:sz w:val="24"/>
          <w:szCs w:val="24"/>
        </w:rPr>
        <w:t>he trial court</w:t>
      </w:r>
      <w:r w:rsidR="00072265" w:rsidRPr="00BC1FAB">
        <w:rPr>
          <w:rFonts w:eastAsia="Times New Roman"/>
          <w:sz w:val="24"/>
          <w:szCs w:val="24"/>
        </w:rPr>
        <w:t xml:space="preserve"> “</w:t>
      </w:r>
      <w:r w:rsidR="00760F84" w:rsidRPr="00BC1FAB">
        <w:rPr>
          <w:rFonts w:eastAsia="Times New Roman"/>
          <w:sz w:val="24"/>
          <w:szCs w:val="24"/>
        </w:rPr>
        <w:t xml:space="preserve">failed to give any instructions as to the limited nature of the rebuttal testimony when it was offered and, during the charge, the jury was not clearly instructed that the admission [of the defendant </w:t>
      </w:r>
      <w:r w:rsidR="00B57552" w:rsidRPr="00BC1FAB">
        <w:rPr>
          <w:rFonts w:eastAsia="Times New Roman"/>
          <w:sz w:val="24"/>
          <w:szCs w:val="24"/>
        </w:rPr>
        <w:t>introduced</w:t>
      </w:r>
      <w:r w:rsidR="00760F84" w:rsidRPr="00BC1FAB">
        <w:rPr>
          <w:rFonts w:eastAsia="Times New Roman"/>
          <w:sz w:val="24"/>
          <w:szCs w:val="24"/>
        </w:rPr>
        <w:t xml:space="preserve"> on rebuttal</w:t>
      </w:r>
      <w:r w:rsidR="00B57552" w:rsidRPr="00BC1FAB">
        <w:rPr>
          <w:rFonts w:eastAsia="Times New Roman"/>
          <w:sz w:val="24"/>
          <w:szCs w:val="24"/>
        </w:rPr>
        <w:t xml:space="preserve"> </w:t>
      </w:r>
      <w:r w:rsidR="00760F84" w:rsidRPr="00BC1FAB">
        <w:rPr>
          <w:rFonts w:eastAsia="Times New Roman"/>
          <w:sz w:val="24"/>
          <w:szCs w:val="24"/>
        </w:rPr>
        <w:t xml:space="preserve">for impeachment purposes only] </w:t>
      </w:r>
      <w:r w:rsidR="00F43AB0" w:rsidRPr="00BC1FAB">
        <w:rPr>
          <w:rFonts w:eastAsia="Times New Roman"/>
          <w:sz w:val="24"/>
          <w:szCs w:val="24"/>
        </w:rPr>
        <w:t xml:space="preserve">could </w:t>
      </w:r>
      <w:r w:rsidR="00760F84" w:rsidRPr="00BC1FAB">
        <w:rPr>
          <w:rFonts w:eastAsia="Times New Roman"/>
          <w:sz w:val="24"/>
          <w:szCs w:val="24"/>
        </w:rPr>
        <w:t>not be considered as evidence of guilt.</w:t>
      </w:r>
      <w:r w:rsidR="00072265" w:rsidRPr="00BC1FAB">
        <w:rPr>
          <w:rFonts w:eastAsia="Times New Roman"/>
          <w:sz w:val="24"/>
          <w:szCs w:val="24"/>
        </w:rPr>
        <w:t>”</w:t>
      </w:r>
      <w:r w:rsidR="0015518F" w:rsidRPr="00BC1FAB">
        <w:rPr>
          <w:rFonts w:eastAsia="Times New Roman"/>
          <w:sz w:val="24"/>
          <w:szCs w:val="24"/>
        </w:rPr>
        <w:t xml:space="preserve"> </w:t>
      </w:r>
      <w:r w:rsidR="004A6CCA" w:rsidRPr="00BC1FAB">
        <w:rPr>
          <w:rFonts w:eastAsia="Calibri"/>
          <w:sz w:val="24"/>
          <w:szCs w:val="24"/>
        </w:rPr>
        <w:t xml:space="preserve">Even in the absence of a timely defense objection, the </w:t>
      </w:r>
      <w:r w:rsidR="0015518F" w:rsidRPr="00BC1FAB">
        <w:rPr>
          <w:rFonts w:eastAsia="Calibri"/>
          <w:sz w:val="24"/>
          <w:szCs w:val="24"/>
        </w:rPr>
        <w:t>Appellate Division</w:t>
      </w:r>
      <w:r w:rsidR="004A6CCA" w:rsidRPr="00BC1FAB">
        <w:rPr>
          <w:rFonts w:eastAsia="Calibri"/>
          <w:sz w:val="24"/>
          <w:szCs w:val="24"/>
        </w:rPr>
        <w:t xml:space="preserve"> in</w:t>
      </w:r>
      <w:r w:rsidR="001735A5" w:rsidRPr="00BC1FAB">
        <w:rPr>
          <w:rFonts w:eastAsia="Calibri"/>
          <w:sz w:val="24"/>
          <w:szCs w:val="24"/>
        </w:rPr>
        <w:t xml:space="preserve"> </w:t>
      </w:r>
      <w:r w:rsidRPr="00BC1FAB">
        <w:rPr>
          <w:rFonts w:eastAsia="Times New Roman"/>
          <w:i/>
          <w:iCs/>
          <w:sz w:val="24"/>
          <w:szCs w:val="24"/>
        </w:rPr>
        <w:t>People v Campbell</w:t>
      </w:r>
      <w:r w:rsidRPr="00BC1FAB">
        <w:rPr>
          <w:rFonts w:eastAsia="Times New Roman"/>
          <w:sz w:val="24"/>
          <w:szCs w:val="24"/>
        </w:rPr>
        <w:t xml:space="preserve"> </w:t>
      </w:r>
      <w:r w:rsidR="00F43AB0" w:rsidRPr="00BC1FAB">
        <w:rPr>
          <w:rFonts w:eastAsia="Times New Roman"/>
          <w:sz w:val="24"/>
          <w:szCs w:val="24"/>
        </w:rPr>
        <w:t>(</w:t>
      </w:r>
      <w:r w:rsidRPr="00BC1FAB">
        <w:rPr>
          <w:rFonts w:eastAsia="Times New Roman"/>
          <w:sz w:val="24"/>
          <w:szCs w:val="24"/>
        </w:rPr>
        <w:t>59 AD2d 912, 912 [2d Dept 1977]</w:t>
      </w:r>
      <w:r w:rsidR="00F43AB0" w:rsidRPr="00BC1FAB">
        <w:rPr>
          <w:rFonts w:eastAsia="Times New Roman"/>
          <w:sz w:val="24"/>
          <w:szCs w:val="24"/>
        </w:rPr>
        <w:t>)</w:t>
      </w:r>
      <w:r w:rsidRPr="00BC1FAB">
        <w:rPr>
          <w:rFonts w:eastAsia="Times New Roman"/>
          <w:sz w:val="24"/>
          <w:szCs w:val="24"/>
        </w:rPr>
        <w:t xml:space="preserve"> </w:t>
      </w:r>
      <w:r w:rsidRPr="00BC1FAB">
        <w:rPr>
          <w:rFonts w:eastAsia="Times New Roman"/>
          <w:sz w:val="24"/>
          <w:szCs w:val="24"/>
        </w:rPr>
        <w:lastRenderedPageBreak/>
        <w:t xml:space="preserve">reversed </w:t>
      </w:r>
      <w:r w:rsidR="009D291F" w:rsidRPr="00BC1FAB">
        <w:rPr>
          <w:rFonts w:eastAsia="Times New Roman"/>
          <w:sz w:val="24"/>
          <w:szCs w:val="24"/>
        </w:rPr>
        <w:t xml:space="preserve">the </w:t>
      </w:r>
      <w:r w:rsidRPr="00BC1FAB">
        <w:rPr>
          <w:rFonts w:eastAsia="Times New Roman"/>
          <w:sz w:val="24"/>
          <w:szCs w:val="24"/>
        </w:rPr>
        <w:t xml:space="preserve">judgment in the interests of justice </w:t>
      </w:r>
      <w:r w:rsidR="004143A1" w:rsidRPr="00BC1FAB">
        <w:rPr>
          <w:rFonts w:eastAsia="Times New Roman"/>
          <w:sz w:val="24"/>
          <w:szCs w:val="24"/>
        </w:rPr>
        <w:t>when</w:t>
      </w:r>
      <w:r w:rsidRPr="00BC1FAB">
        <w:rPr>
          <w:rFonts w:eastAsia="Times New Roman"/>
          <w:sz w:val="24"/>
          <w:szCs w:val="24"/>
        </w:rPr>
        <w:t xml:space="preserve"> the trial court failed to charge the jury that a statement (</w:t>
      </w:r>
      <w:r w:rsidR="004143A1" w:rsidRPr="00BC1FAB">
        <w:rPr>
          <w:rFonts w:eastAsia="Times New Roman"/>
          <w:sz w:val="24"/>
          <w:szCs w:val="24"/>
        </w:rPr>
        <w:t xml:space="preserve">albeit </w:t>
      </w:r>
      <w:r w:rsidRPr="00BC1FAB">
        <w:rPr>
          <w:rFonts w:eastAsia="Times New Roman"/>
          <w:sz w:val="24"/>
          <w:szCs w:val="24"/>
        </w:rPr>
        <w:t>taken in violation of the defendant’s constitutional rights) was admitted in rebuttal solely for impeachment purposes.</w:t>
      </w:r>
    </w:p>
    <w:p w14:paraId="4EB75F17" w14:textId="77777777" w:rsidR="00F44111" w:rsidRPr="00BC1FAB" w:rsidRDefault="00F44111" w:rsidP="00F727AD">
      <w:pPr>
        <w:widowControl/>
        <w:snapToGrid w:val="0"/>
        <w:jc w:val="both"/>
        <w:rPr>
          <w:rFonts w:eastAsia="Times New Roman"/>
          <w:sz w:val="24"/>
          <w:szCs w:val="24"/>
        </w:rPr>
      </w:pPr>
    </w:p>
    <w:p w14:paraId="304FCA5E" w14:textId="2BEA92C3" w:rsidR="009A55EB" w:rsidRPr="00BC1FAB" w:rsidRDefault="00F727AD" w:rsidP="00F727AD">
      <w:pPr>
        <w:widowControl/>
        <w:tabs>
          <w:tab w:val="left" w:pos="720"/>
        </w:tabs>
        <w:snapToGrid w:val="0"/>
        <w:jc w:val="both"/>
        <w:rPr>
          <w:rFonts w:eastAsia="Times New Roman"/>
          <w:sz w:val="24"/>
          <w:szCs w:val="24"/>
        </w:rPr>
      </w:pPr>
      <w:r w:rsidRPr="00BC1FAB">
        <w:rPr>
          <w:rFonts w:eastAsia="Times New Roman"/>
          <w:sz w:val="24"/>
          <w:szCs w:val="24"/>
        </w:rPr>
        <w:tab/>
      </w:r>
      <w:r w:rsidR="00741FA2" w:rsidRPr="00BC1FAB">
        <w:rPr>
          <w:rFonts w:eastAsia="Times New Roman"/>
          <w:sz w:val="24"/>
          <w:szCs w:val="24"/>
        </w:rPr>
        <w:t xml:space="preserve">While the Appellate Division may not exercise its “interests of justice” jurisdiction in every instance that a court in a joint trial of defendants fails to provide a jury instruction on the scope of critical evidence that is not applicable to all defendants, </w:t>
      </w:r>
      <w:r w:rsidR="00741FA2" w:rsidRPr="00BC1FAB">
        <w:rPr>
          <w:rFonts w:eastAsia="Times New Roman"/>
          <w:i/>
          <w:iCs/>
          <w:sz w:val="24"/>
          <w:szCs w:val="24"/>
        </w:rPr>
        <w:t>Campbell</w:t>
      </w:r>
      <w:r w:rsidR="00741FA2" w:rsidRPr="00BC1FAB">
        <w:rPr>
          <w:rFonts w:eastAsia="Times New Roman"/>
          <w:sz w:val="24"/>
          <w:szCs w:val="24"/>
        </w:rPr>
        <w:t xml:space="preserve"> suggests that the better practice is for the court to do so, with or without a request. </w:t>
      </w:r>
      <w:r w:rsidR="00152FB2">
        <w:rPr>
          <w:rFonts w:eastAsia="Times New Roman"/>
          <w:sz w:val="24"/>
          <w:szCs w:val="24"/>
        </w:rPr>
        <w:t xml:space="preserve"> </w:t>
      </w:r>
      <w:r w:rsidR="009B3C3B" w:rsidRPr="00BC1FAB">
        <w:rPr>
          <w:rFonts w:eastAsia="Times New Roman"/>
          <w:sz w:val="24"/>
          <w:szCs w:val="24"/>
        </w:rPr>
        <w:t>(</w:t>
      </w:r>
      <w:r w:rsidR="00741FA2" w:rsidRPr="00BC1FAB">
        <w:rPr>
          <w:rFonts w:eastAsia="Times New Roman"/>
          <w:i/>
          <w:iCs/>
          <w:sz w:val="24"/>
          <w:szCs w:val="24"/>
        </w:rPr>
        <w:t>Se</w:t>
      </w:r>
      <w:r w:rsidR="006D0D67" w:rsidRPr="00BC1FAB">
        <w:rPr>
          <w:rFonts w:eastAsia="Times New Roman"/>
          <w:i/>
          <w:iCs/>
          <w:sz w:val="24"/>
          <w:szCs w:val="24"/>
        </w:rPr>
        <w:t>e</w:t>
      </w:r>
      <w:r w:rsidR="00741FA2" w:rsidRPr="00BC1FAB">
        <w:rPr>
          <w:rFonts w:eastAsia="Times New Roman"/>
          <w:i/>
          <w:iCs/>
          <w:sz w:val="24"/>
          <w:szCs w:val="24"/>
        </w:rPr>
        <w:t xml:space="preserve"> Brandon v Caterpillar Tractor Corp.</w:t>
      </w:r>
      <w:r w:rsidR="00741FA2" w:rsidRPr="00BC1FAB">
        <w:rPr>
          <w:rFonts w:eastAsia="Times New Roman"/>
          <w:sz w:val="24"/>
          <w:szCs w:val="24"/>
        </w:rPr>
        <w:t>, 125 AD2d 625, 627 [2d Dept 1986] [the trial court “erred in failing to instruct the jury</w:t>
      </w:r>
      <w:r w:rsidR="00060FEE" w:rsidRPr="00BC1FAB">
        <w:rPr>
          <w:rFonts w:eastAsia="Times New Roman"/>
          <w:sz w:val="24"/>
          <w:szCs w:val="24"/>
        </w:rPr>
        <w:t xml:space="preserve">” of the limited purpose </w:t>
      </w:r>
      <w:r w:rsidR="00536FFD" w:rsidRPr="00BC1FAB">
        <w:rPr>
          <w:rFonts w:eastAsia="Times New Roman"/>
          <w:sz w:val="24"/>
          <w:szCs w:val="24"/>
        </w:rPr>
        <w:t>for which specific document</w:t>
      </w:r>
      <w:r w:rsidR="00FC0EF2" w:rsidRPr="00BC1FAB">
        <w:rPr>
          <w:rFonts w:eastAsia="Times New Roman"/>
          <w:sz w:val="24"/>
          <w:szCs w:val="24"/>
        </w:rPr>
        <w:t xml:space="preserve">s </w:t>
      </w:r>
      <w:r w:rsidR="009A55EB" w:rsidRPr="00BC1FAB">
        <w:rPr>
          <w:rFonts w:eastAsia="Times New Roman"/>
          <w:sz w:val="24"/>
          <w:szCs w:val="24"/>
        </w:rPr>
        <w:t>were received in evidence</w:t>
      </w:r>
      <w:r w:rsidR="00060C31" w:rsidRPr="00BC1FAB">
        <w:rPr>
          <w:rFonts w:eastAsia="Times New Roman"/>
          <w:sz w:val="24"/>
          <w:szCs w:val="24"/>
        </w:rPr>
        <w:t>].</w:t>
      </w:r>
      <w:r w:rsidR="009B3C3B" w:rsidRPr="00BC1FAB">
        <w:rPr>
          <w:rFonts w:eastAsia="Times New Roman"/>
          <w:sz w:val="24"/>
          <w:szCs w:val="24"/>
        </w:rPr>
        <w:t>)</w:t>
      </w:r>
    </w:p>
    <w:p w14:paraId="7D4C0A76" w14:textId="77777777" w:rsidR="009A55EB" w:rsidRPr="00BC1FAB" w:rsidRDefault="009A55EB" w:rsidP="00F727AD">
      <w:pPr>
        <w:widowControl/>
        <w:snapToGrid w:val="0"/>
        <w:jc w:val="both"/>
        <w:rPr>
          <w:rFonts w:eastAsia="Times New Roman"/>
          <w:sz w:val="24"/>
          <w:szCs w:val="24"/>
        </w:rPr>
      </w:pPr>
    </w:p>
    <w:p w14:paraId="7B5671D1" w14:textId="06A7700E" w:rsidR="00741FA2" w:rsidRPr="00BC1FAB" w:rsidRDefault="00741FA2" w:rsidP="0083771E">
      <w:pPr>
        <w:widowControl/>
        <w:shd w:val="clear" w:color="auto" w:fill="FFFFFF"/>
        <w:autoSpaceDE/>
        <w:autoSpaceDN/>
        <w:adjustRightInd/>
        <w:jc w:val="both"/>
        <w:rPr>
          <w:rFonts w:eastAsia="Calibri"/>
          <w:sz w:val="24"/>
          <w:szCs w:val="24"/>
        </w:rPr>
      </w:pPr>
      <w:r w:rsidRPr="00BC1FAB">
        <w:rPr>
          <w:rFonts w:eastAsia="Calibri"/>
          <w:sz w:val="24"/>
          <w:szCs w:val="24"/>
        </w:rPr>
        <w:tab/>
      </w:r>
      <w:r w:rsidR="00E53656" w:rsidRPr="00BC1FAB">
        <w:rPr>
          <w:rFonts w:eastAsia="Calibri"/>
          <w:sz w:val="24"/>
          <w:szCs w:val="24"/>
        </w:rPr>
        <w:t xml:space="preserve">Statutes may require </w:t>
      </w:r>
      <w:r w:rsidR="001B6766" w:rsidRPr="00BC1FAB">
        <w:rPr>
          <w:rFonts w:eastAsia="Calibri"/>
          <w:sz w:val="24"/>
          <w:szCs w:val="24"/>
        </w:rPr>
        <w:t>a limiting instruction on the receipt of evidence</w:t>
      </w:r>
      <w:r w:rsidR="00152FB2" w:rsidRPr="00BC1FAB">
        <w:rPr>
          <w:rFonts w:eastAsia="Calibri"/>
          <w:sz w:val="24"/>
          <w:szCs w:val="24"/>
        </w:rPr>
        <w:t xml:space="preserve">.  </w:t>
      </w:r>
      <w:r w:rsidR="001B6766" w:rsidRPr="00BC1FAB">
        <w:rPr>
          <w:rFonts w:eastAsia="Calibri"/>
          <w:sz w:val="24"/>
          <w:szCs w:val="24"/>
        </w:rPr>
        <w:t>For example, CP</w:t>
      </w:r>
      <w:r w:rsidRPr="00BC1FAB">
        <w:rPr>
          <w:rFonts w:eastAsia="Calibri"/>
          <w:sz w:val="24"/>
          <w:szCs w:val="24"/>
        </w:rPr>
        <w:t>L 60.35</w:t>
      </w:r>
      <w:r w:rsidR="009F45A4" w:rsidRPr="00BC1FAB">
        <w:rPr>
          <w:rFonts w:eastAsia="Calibri"/>
          <w:sz w:val="24"/>
          <w:szCs w:val="24"/>
        </w:rPr>
        <w:t xml:space="preserve"> (2)</w:t>
      </w:r>
      <w:r w:rsidRPr="00BC1FAB">
        <w:rPr>
          <w:rFonts w:eastAsia="Calibri"/>
          <w:sz w:val="24"/>
          <w:szCs w:val="24"/>
        </w:rPr>
        <w:t xml:space="preserve"> dictates that where a party is authorized to impeach its own witness with a prior contradictory statement, the prior statement “may be received only for the purpose of impeaching the credibility of the witness with respect to his testimony upon the subject,</w:t>
      </w:r>
      <w:r w:rsidR="004157C8" w:rsidRPr="00BC1FAB">
        <w:rPr>
          <w:rFonts w:eastAsia="Calibri"/>
          <w:sz w:val="24"/>
          <w:szCs w:val="24"/>
        </w:rPr>
        <w:t xml:space="preserve"> </w:t>
      </w:r>
      <w:r w:rsidRPr="00BC1FAB">
        <w:rPr>
          <w:rFonts w:eastAsia="Calibri"/>
          <w:sz w:val="24"/>
          <w:szCs w:val="24"/>
        </w:rPr>
        <w:t>and does not constitute evidence in chief</w:t>
      </w:r>
      <w:r w:rsidR="00152FB2" w:rsidRPr="00BC1FAB">
        <w:rPr>
          <w:rFonts w:eastAsia="Calibri"/>
          <w:sz w:val="24"/>
          <w:szCs w:val="24"/>
        </w:rPr>
        <w:t xml:space="preserve">.  </w:t>
      </w:r>
      <w:r w:rsidRPr="00BC1FAB">
        <w:rPr>
          <w:rFonts w:eastAsia="Calibri"/>
          <w:sz w:val="24"/>
          <w:szCs w:val="24"/>
        </w:rPr>
        <w:t>Upon receiving such evidence at a jury trial, the court must so instruct the jury.”</w:t>
      </w:r>
    </w:p>
    <w:p w14:paraId="3E595E61" w14:textId="77777777" w:rsidR="00741FA2" w:rsidRPr="00BC1FAB" w:rsidRDefault="00741FA2" w:rsidP="0083771E">
      <w:pPr>
        <w:widowControl/>
        <w:shd w:val="clear" w:color="auto" w:fill="FFFFFF"/>
        <w:autoSpaceDE/>
        <w:autoSpaceDN/>
        <w:adjustRightInd/>
        <w:jc w:val="both"/>
        <w:rPr>
          <w:rFonts w:eastAsia="Calibri"/>
          <w:sz w:val="24"/>
          <w:szCs w:val="24"/>
        </w:rPr>
      </w:pPr>
    </w:p>
    <w:p w14:paraId="05868808" w14:textId="08CAEAFC" w:rsidR="00741FA2" w:rsidRPr="00BC1FAB" w:rsidRDefault="00741FA2" w:rsidP="0083771E">
      <w:pPr>
        <w:widowControl/>
        <w:shd w:val="clear" w:color="auto" w:fill="FFFFFF"/>
        <w:autoSpaceDE/>
        <w:autoSpaceDN/>
        <w:adjustRightInd/>
        <w:jc w:val="both"/>
        <w:rPr>
          <w:rFonts w:eastAsia="Calibri"/>
          <w:sz w:val="24"/>
          <w:szCs w:val="24"/>
        </w:rPr>
      </w:pPr>
      <w:r w:rsidRPr="00BC1FAB">
        <w:rPr>
          <w:rFonts w:eastAsia="Calibri"/>
          <w:sz w:val="24"/>
          <w:szCs w:val="24"/>
        </w:rPr>
        <w:tab/>
        <w:t xml:space="preserve">The timing of the instruction may be critical to curing any prejudice to the </w:t>
      </w:r>
      <w:r w:rsidR="001E5A9B" w:rsidRPr="00BC1FAB">
        <w:rPr>
          <w:rFonts w:eastAsia="Calibri"/>
          <w:sz w:val="24"/>
          <w:szCs w:val="24"/>
        </w:rPr>
        <w:t>party a</w:t>
      </w:r>
      <w:r w:rsidRPr="00BC1FAB">
        <w:rPr>
          <w:rFonts w:eastAsia="Calibri"/>
          <w:sz w:val="24"/>
          <w:szCs w:val="24"/>
        </w:rPr>
        <w:t>gainst whom the evidence is not admissible</w:t>
      </w:r>
      <w:r w:rsidR="00152FB2" w:rsidRPr="00BC1FAB">
        <w:rPr>
          <w:rFonts w:eastAsia="Calibri"/>
          <w:sz w:val="24"/>
          <w:szCs w:val="24"/>
        </w:rPr>
        <w:t xml:space="preserve">.  </w:t>
      </w:r>
      <w:r w:rsidR="0047751F" w:rsidRPr="00BC1FAB">
        <w:rPr>
          <w:rFonts w:eastAsia="Calibri"/>
          <w:sz w:val="24"/>
          <w:szCs w:val="24"/>
        </w:rPr>
        <w:t>(</w:t>
      </w:r>
      <w:r w:rsidRPr="00BC1FAB">
        <w:rPr>
          <w:rFonts w:eastAsia="Calibri"/>
          <w:i/>
          <w:iCs/>
          <w:sz w:val="24"/>
          <w:szCs w:val="24"/>
        </w:rPr>
        <w:t>Marshall</w:t>
      </w:r>
      <w:r w:rsidR="00F24E74" w:rsidRPr="00BC1FAB">
        <w:rPr>
          <w:rFonts w:eastAsia="Calibri"/>
          <w:sz w:val="24"/>
          <w:szCs w:val="24"/>
        </w:rPr>
        <w:t>,</w:t>
      </w:r>
      <w:r w:rsidR="00F24E74" w:rsidRPr="00BC1FAB">
        <w:rPr>
          <w:rFonts w:eastAsia="Calibri"/>
          <w:i/>
          <w:iCs/>
          <w:sz w:val="24"/>
          <w:szCs w:val="24"/>
        </w:rPr>
        <w:t xml:space="preserve"> </w:t>
      </w:r>
      <w:r w:rsidR="00F24E74" w:rsidRPr="00BC1FAB">
        <w:rPr>
          <w:rFonts w:eastAsia="Calibri"/>
          <w:sz w:val="24"/>
          <w:szCs w:val="24"/>
        </w:rPr>
        <w:t>306 NY</w:t>
      </w:r>
      <w:r w:rsidRPr="00BC1FAB">
        <w:rPr>
          <w:rFonts w:eastAsia="Calibri"/>
          <w:sz w:val="24"/>
          <w:szCs w:val="24"/>
        </w:rPr>
        <w:t xml:space="preserve"> at 226, 228 [“</w:t>
      </w:r>
      <w:r w:rsidR="00463910" w:rsidRPr="00BC1FAB">
        <w:rPr>
          <w:rFonts w:eastAsia="Calibri"/>
          <w:sz w:val="24"/>
          <w:szCs w:val="24"/>
        </w:rPr>
        <w:t xml:space="preserve"> ‘</w:t>
      </w:r>
      <w:r w:rsidRPr="00BC1FAB">
        <w:rPr>
          <w:rFonts w:eastAsia="Calibri"/>
          <w:sz w:val="24"/>
          <w:szCs w:val="24"/>
        </w:rPr>
        <w:t xml:space="preserve">Reserving the instructions </w:t>
      </w:r>
      <w:r w:rsidR="00A201EE" w:rsidRPr="00BC1FAB">
        <w:rPr>
          <w:rFonts w:eastAsia="Calibri"/>
          <w:sz w:val="24"/>
          <w:szCs w:val="24"/>
        </w:rPr>
        <w:t>(</w:t>
      </w:r>
      <w:r w:rsidR="00DD6606" w:rsidRPr="00BC1FAB">
        <w:rPr>
          <w:rFonts w:eastAsia="Calibri"/>
          <w:sz w:val="24"/>
          <w:szCs w:val="24"/>
        </w:rPr>
        <w:t>as to evidence that was stricken</w:t>
      </w:r>
      <w:r w:rsidR="00A201EE" w:rsidRPr="00BC1FAB">
        <w:rPr>
          <w:rFonts w:eastAsia="Calibri"/>
          <w:sz w:val="24"/>
          <w:szCs w:val="24"/>
        </w:rPr>
        <w:t>)</w:t>
      </w:r>
      <w:r w:rsidR="00DD6606" w:rsidRPr="00BC1FAB">
        <w:rPr>
          <w:rFonts w:eastAsia="Calibri"/>
          <w:sz w:val="24"/>
          <w:szCs w:val="24"/>
        </w:rPr>
        <w:t xml:space="preserve"> </w:t>
      </w:r>
      <w:r w:rsidRPr="00BC1FAB">
        <w:rPr>
          <w:rFonts w:eastAsia="Calibri"/>
          <w:sz w:val="24"/>
          <w:szCs w:val="24"/>
        </w:rPr>
        <w:t>until after the evidence had sunk in and then asking the jury to excise it from consideration as to appellant was not psychologically the equivalent of the proper instruction at the proper time</w:t>
      </w:r>
      <w:r w:rsidR="00463910" w:rsidRPr="00BC1FAB">
        <w:rPr>
          <w:rFonts w:eastAsia="Calibri"/>
          <w:sz w:val="24"/>
          <w:szCs w:val="24"/>
        </w:rPr>
        <w:t>’</w:t>
      </w:r>
      <w:r w:rsidR="0047751F" w:rsidRPr="00BC1FAB">
        <w:rPr>
          <w:rFonts w:eastAsia="Calibri"/>
          <w:sz w:val="24"/>
          <w:szCs w:val="24"/>
        </w:rPr>
        <w:t xml:space="preserve"> </w:t>
      </w:r>
      <w:r w:rsidRPr="00BC1FAB">
        <w:rPr>
          <w:rFonts w:eastAsia="Calibri"/>
          <w:sz w:val="24"/>
          <w:szCs w:val="24"/>
        </w:rPr>
        <w:t>”</w:t>
      </w:r>
      <w:r w:rsidR="0047751F" w:rsidRPr="00BC1FAB">
        <w:rPr>
          <w:rFonts w:eastAsia="Calibri"/>
          <w:sz w:val="24"/>
          <w:szCs w:val="24"/>
        </w:rPr>
        <w:t>].)</w:t>
      </w:r>
    </w:p>
    <w:p w14:paraId="49CE86FB" w14:textId="77777777" w:rsidR="00741FA2" w:rsidRPr="00BC1FAB" w:rsidRDefault="00741FA2" w:rsidP="00F727AD">
      <w:pPr>
        <w:pStyle w:val="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pPr>
    </w:p>
    <w:p w14:paraId="4C8E2519" w14:textId="048E4EB6" w:rsidR="00B679E3" w:rsidRPr="00BC1FAB" w:rsidRDefault="00F727AD" w:rsidP="00F727AD">
      <w:pPr>
        <w:pStyle w:val="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rPr>
          <w:rFonts w:eastAsia="Times New Roman"/>
        </w:rPr>
      </w:pPr>
      <w:r w:rsidRPr="00BC1FAB">
        <w:rPr>
          <w:b/>
          <w:bCs/>
        </w:rPr>
        <w:tab/>
      </w:r>
      <w:r w:rsidR="006D3AC6" w:rsidRPr="00BC1FAB">
        <w:rPr>
          <w:b/>
          <w:bCs/>
        </w:rPr>
        <w:t>Subdivision (</w:t>
      </w:r>
      <w:r w:rsidR="00683CD3" w:rsidRPr="00BC1FAB">
        <w:rPr>
          <w:b/>
          <w:bCs/>
        </w:rPr>
        <w:t>3</w:t>
      </w:r>
      <w:r w:rsidR="006D3AC6" w:rsidRPr="00BC1FAB">
        <w:rPr>
          <w:b/>
          <w:bCs/>
        </w:rPr>
        <w:t>)</w:t>
      </w:r>
      <w:r w:rsidR="00F97FD8" w:rsidRPr="00BC1FAB">
        <w:t xml:space="preserve"> </w:t>
      </w:r>
      <w:r w:rsidR="00B679E3" w:rsidRPr="00BC1FAB">
        <w:t xml:space="preserve">is </w:t>
      </w:r>
      <w:r w:rsidR="00C35F68" w:rsidRPr="00BC1FAB">
        <w:t xml:space="preserve">illustrated </w:t>
      </w:r>
      <w:r w:rsidR="00B679E3" w:rsidRPr="00BC1FAB">
        <w:t xml:space="preserve">perhaps best by </w:t>
      </w:r>
      <w:r w:rsidR="0047751F" w:rsidRPr="00BC1FAB">
        <w:rPr>
          <w:rFonts w:eastAsia="Times New Roman"/>
          <w:i/>
          <w:iCs/>
        </w:rPr>
        <w:t>Bru</w:t>
      </w:r>
      <w:r w:rsidR="00B679E3" w:rsidRPr="00BC1FAB">
        <w:rPr>
          <w:rFonts w:eastAsia="Times New Roman"/>
          <w:i/>
          <w:iCs/>
        </w:rPr>
        <w:t>ton v United States</w:t>
      </w:r>
      <w:r w:rsidR="00B679E3" w:rsidRPr="00BC1FAB">
        <w:rPr>
          <w:rFonts w:eastAsia="Times New Roman"/>
        </w:rPr>
        <w:t xml:space="preserve"> </w:t>
      </w:r>
      <w:r w:rsidR="0047751F" w:rsidRPr="00BC1FAB">
        <w:rPr>
          <w:rFonts w:eastAsia="Times New Roman"/>
        </w:rPr>
        <w:t>(</w:t>
      </w:r>
      <w:r w:rsidR="00B679E3" w:rsidRPr="00BC1FAB">
        <w:rPr>
          <w:rFonts w:eastAsia="Times New Roman"/>
        </w:rPr>
        <w:t>391 US 123, 137 [1968]</w:t>
      </w:r>
      <w:r w:rsidR="0047751F" w:rsidRPr="00BC1FAB">
        <w:rPr>
          <w:rFonts w:eastAsia="Times New Roman"/>
        </w:rPr>
        <w:t>)</w:t>
      </w:r>
      <w:r w:rsidR="00132C9D" w:rsidRPr="00BC1FAB">
        <w:rPr>
          <w:rFonts w:eastAsia="Times New Roman"/>
        </w:rPr>
        <w:t>,</w:t>
      </w:r>
      <w:r w:rsidR="004472AD" w:rsidRPr="00BC1FAB">
        <w:rPr>
          <w:rFonts w:eastAsia="Times New Roman"/>
        </w:rPr>
        <w:t xml:space="preserve"> </w:t>
      </w:r>
      <w:r w:rsidR="00311CCE" w:rsidRPr="00BC1FAB">
        <w:rPr>
          <w:rFonts w:eastAsia="Times New Roman"/>
        </w:rPr>
        <w:t>which held that</w:t>
      </w:r>
      <w:r w:rsidR="00132C9D" w:rsidRPr="00BC1FAB">
        <w:rPr>
          <w:rFonts w:eastAsia="Times New Roman"/>
        </w:rPr>
        <w:t>,</w:t>
      </w:r>
      <w:r w:rsidR="00AF24CC" w:rsidRPr="00BC1FAB">
        <w:rPr>
          <w:rFonts w:eastAsia="Times New Roman"/>
        </w:rPr>
        <w:t xml:space="preserve"> in a joint trial of defendants,</w:t>
      </w:r>
      <w:r w:rsidR="00311CCE" w:rsidRPr="00BC1FAB">
        <w:rPr>
          <w:rFonts w:eastAsia="Times New Roman"/>
        </w:rPr>
        <w:t xml:space="preserve"> a limiting instruction that </w:t>
      </w:r>
      <w:r w:rsidR="00AF24CC" w:rsidRPr="00BC1FAB">
        <w:rPr>
          <w:rFonts w:eastAsia="Times New Roman"/>
        </w:rPr>
        <w:t>the</w:t>
      </w:r>
      <w:r w:rsidR="00311CCE" w:rsidRPr="00BC1FAB">
        <w:rPr>
          <w:rFonts w:eastAsia="Times New Roman"/>
        </w:rPr>
        <w:t xml:space="preserve"> jury may not consider </w:t>
      </w:r>
      <w:r w:rsidR="00AF24CC" w:rsidRPr="00BC1FAB">
        <w:rPr>
          <w:rFonts w:eastAsia="Times New Roman"/>
        </w:rPr>
        <w:t>one</w:t>
      </w:r>
      <w:r w:rsidR="00311CCE" w:rsidRPr="00BC1FAB">
        <w:rPr>
          <w:rFonts w:eastAsia="Times New Roman"/>
        </w:rPr>
        <w:t xml:space="preserve"> defendant’s confession against the codefendant </w:t>
      </w:r>
      <w:r w:rsidR="002F1E87" w:rsidRPr="00BC1FAB">
        <w:rPr>
          <w:rFonts w:eastAsia="Times New Roman"/>
        </w:rPr>
        <w:t>was</w:t>
      </w:r>
      <w:r w:rsidR="00AF24CC" w:rsidRPr="00BC1FAB">
        <w:rPr>
          <w:rFonts w:eastAsia="Times New Roman"/>
        </w:rPr>
        <w:t xml:space="preserve"> insufficient</w:t>
      </w:r>
      <w:r w:rsidR="002E16E6" w:rsidRPr="00BC1FAB">
        <w:rPr>
          <w:rFonts w:eastAsia="Times New Roman"/>
        </w:rPr>
        <w:t xml:space="preserve"> </w:t>
      </w:r>
      <w:r w:rsidR="000328EF" w:rsidRPr="00BC1FAB">
        <w:rPr>
          <w:rFonts w:eastAsia="Times New Roman"/>
        </w:rPr>
        <w:t xml:space="preserve">to protect </w:t>
      </w:r>
      <w:r w:rsidR="002E16E6" w:rsidRPr="00BC1FAB">
        <w:rPr>
          <w:rFonts w:eastAsia="Times New Roman"/>
        </w:rPr>
        <w:t>the codefendant’s right of confrontation.</w:t>
      </w:r>
    </w:p>
    <w:p w14:paraId="2B6CDB93" w14:textId="2F0CA356" w:rsidR="000129C1" w:rsidRPr="00BC1FAB" w:rsidRDefault="000129C1" w:rsidP="0083771E">
      <w:pPr>
        <w:widowControl/>
        <w:shd w:val="clear" w:color="auto" w:fill="FFFFFF"/>
        <w:autoSpaceDE/>
        <w:autoSpaceDN/>
        <w:adjustRightInd/>
        <w:rPr>
          <w:rFonts w:eastAsia="Times New Roman"/>
          <w:sz w:val="24"/>
          <w:szCs w:val="24"/>
        </w:rPr>
      </w:pPr>
    </w:p>
    <w:sectPr w:rsidR="000129C1" w:rsidRPr="00BC1FAB" w:rsidSect="0083771E">
      <w:footerReference w:type="default" r:id="rId8"/>
      <w:endnotePr>
        <w:numFmt w:val="decimal"/>
      </w:endnotePr>
      <w:type w:val="continuous"/>
      <w:pgSz w:w="12240" w:h="15840"/>
      <w:pgMar w:top="1440" w:right="2160" w:bottom="1440" w:left="2160" w:header="1440" w:footer="14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F755C" w14:textId="77777777" w:rsidR="00FD060A" w:rsidRDefault="00FD060A" w:rsidP="001813EA">
      <w:r>
        <w:separator/>
      </w:r>
    </w:p>
  </w:endnote>
  <w:endnote w:type="continuationSeparator" w:id="0">
    <w:p w14:paraId="3B48A663" w14:textId="77777777" w:rsidR="00FD060A" w:rsidRDefault="00FD060A" w:rsidP="001813EA">
      <w:r>
        <w:continuationSeparator/>
      </w:r>
    </w:p>
  </w:endnote>
  <w:endnote w:id="1">
    <w:p w14:paraId="674D4A12" w14:textId="065AC4A0" w:rsidR="00347C55" w:rsidRPr="00BC1FAB" w:rsidRDefault="00347C55">
      <w:pPr>
        <w:pStyle w:val="EndnoteText"/>
      </w:pPr>
      <w:r w:rsidRPr="00BC1FAB">
        <w:rPr>
          <w:rStyle w:val="EndnoteReference"/>
        </w:rPr>
        <w:endnoteRef/>
      </w:r>
      <w:r w:rsidRPr="00BC1FAB">
        <w:t xml:space="preserve"> </w:t>
      </w:r>
      <w:r w:rsidR="00335AD3">
        <w:t>In December 2022, the rule was renumbered and amended to expand subdivision (2) and add a new subdivision (3); and the Note was substantially expanded.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6495365"/>
      <w:docPartObj>
        <w:docPartGallery w:val="Page Numbers (Bottom of Page)"/>
        <w:docPartUnique/>
      </w:docPartObj>
    </w:sdtPr>
    <w:sdtEndPr>
      <w:rPr>
        <w:noProof/>
      </w:rPr>
    </w:sdtEndPr>
    <w:sdtContent>
      <w:p w14:paraId="422B7924" w14:textId="775F285A" w:rsidR="00F727AD" w:rsidRDefault="00F727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50250" w14:textId="77777777" w:rsidR="00FD060A" w:rsidRDefault="00FD060A" w:rsidP="001813EA">
      <w:r>
        <w:separator/>
      </w:r>
    </w:p>
  </w:footnote>
  <w:footnote w:type="continuationSeparator" w:id="0">
    <w:p w14:paraId="4682404C" w14:textId="77777777" w:rsidR="00FD060A" w:rsidRDefault="00FD060A" w:rsidP="00181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33698F"/>
    <w:multiLevelType w:val="hybridMultilevel"/>
    <w:tmpl w:val="1BF28260"/>
    <w:lvl w:ilvl="0" w:tplc="742C2A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982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defaultTabStop w:val="720"/>
  <w:hyphenationZone w:val="402"/>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2NTCxMLS0NDY0NTZX0lEKTi0uzszPAykwrgUAMU3aPywAAAA="/>
  </w:docVars>
  <w:rsids>
    <w:rsidRoot w:val="00154DBC"/>
    <w:rsid w:val="000129C1"/>
    <w:rsid w:val="00015352"/>
    <w:rsid w:val="000328EF"/>
    <w:rsid w:val="0003660F"/>
    <w:rsid w:val="000438BE"/>
    <w:rsid w:val="000543CC"/>
    <w:rsid w:val="00060C31"/>
    <w:rsid w:val="00060FEE"/>
    <w:rsid w:val="000625FA"/>
    <w:rsid w:val="00072265"/>
    <w:rsid w:val="00092EB9"/>
    <w:rsid w:val="000C7895"/>
    <w:rsid w:val="000F014D"/>
    <w:rsid w:val="0011157C"/>
    <w:rsid w:val="0013181F"/>
    <w:rsid w:val="001328B0"/>
    <w:rsid w:val="00132C9D"/>
    <w:rsid w:val="00144D09"/>
    <w:rsid w:val="00152FB2"/>
    <w:rsid w:val="00154DBC"/>
    <w:rsid w:val="0015518F"/>
    <w:rsid w:val="001557F7"/>
    <w:rsid w:val="001735A5"/>
    <w:rsid w:val="001813EA"/>
    <w:rsid w:val="00186681"/>
    <w:rsid w:val="00186822"/>
    <w:rsid w:val="001915EB"/>
    <w:rsid w:val="00193E79"/>
    <w:rsid w:val="001975F3"/>
    <w:rsid w:val="001B1E99"/>
    <w:rsid w:val="001B6766"/>
    <w:rsid w:val="001E2A5A"/>
    <w:rsid w:val="001E5745"/>
    <w:rsid w:val="001E5A9B"/>
    <w:rsid w:val="001F31E4"/>
    <w:rsid w:val="001F5213"/>
    <w:rsid w:val="00207FC6"/>
    <w:rsid w:val="002340D0"/>
    <w:rsid w:val="00235B17"/>
    <w:rsid w:val="002360E1"/>
    <w:rsid w:val="00257838"/>
    <w:rsid w:val="0026515F"/>
    <w:rsid w:val="00276B7D"/>
    <w:rsid w:val="002842D5"/>
    <w:rsid w:val="00297603"/>
    <w:rsid w:val="002D0DCE"/>
    <w:rsid w:val="002D3295"/>
    <w:rsid w:val="002D4FAD"/>
    <w:rsid w:val="002D7E0E"/>
    <w:rsid w:val="002E16E6"/>
    <w:rsid w:val="002E48DE"/>
    <w:rsid w:val="002F1E87"/>
    <w:rsid w:val="002F3511"/>
    <w:rsid w:val="0030234A"/>
    <w:rsid w:val="00311CCE"/>
    <w:rsid w:val="0031731F"/>
    <w:rsid w:val="003236F2"/>
    <w:rsid w:val="00335AD3"/>
    <w:rsid w:val="003402E6"/>
    <w:rsid w:val="003440EB"/>
    <w:rsid w:val="00347C55"/>
    <w:rsid w:val="003859C2"/>
    <w:rsid w:val="003C6BF2"/>
    <w:rsid w:val="003D0113"/>
    <w:rsid w:val="003E2D64"/>
    <w:rsid w:val="003E367A"/>
    <w:rsid w:val="004124BE"/>
    <w:rsid w:val="004143A1"/>
    <w:rsid w:val="004157C8"/>
    <w:rsid w:val="004169EB"/>
    <w:rsid w:val="0043264F"/>
    <w:rsid w:val="00443AC6"/>
    <w:rsid w:val="004472AD"/>
    <w:rsid w:val="00452CE6"/>
    <w:rsid w:val="0045370B"/>
    <w:rsid w:val="00463910"/>
    <w:rsid w:val="0047751F"/>
    <w:rsid w:val="004A6CCA"/>
    <w:rsid w:val="004B5363"/>
    <w:rsid w:val="00513CEE"/>
    <w:rsid w:val="00536FFD"/>
    <w:rsid w:val="00550D7A"/>
    <w:rsid w:val="00554605"/>
    <w:rsid w:val="00555F79"/>
    <w:rsid w:val="00575FC9"/>
    <w:rsid w:val="00597955"/>
    <w:rsid w:val="005A12E5"/>
    <w:rsid w:val="005A7D68"/>
    <w:rsid w:val="005C234B"/>
    <w:rsid w:val="005D06B1"/>
    <w:rsid w:val="0061059E"/>
    <w:rsid w:val="006163AB"/>
    <w:rsid w:val="00683CD3"/>
    <w:rsid w:val="006A1112"/>
    <w:rsid w:val="006A78D9"/>
    <w:rsid w:val="006B23F4"/>
    <w:rsid w:val="006B37D3"/>
    <w:rsid w:val="006D0D67"/>
    <w:rsid w:val="006D3AC6"/>
    <w:rsid w:val="006F32AC"/>
    <w:rsid w:val="00704027"/>
    <w:rsid w:val="00706598"/>
    <w:rsid w:val="00707752"/>
    <w:rsid w:val="00741FA2"/>
    <w:rsid w:val="00742DA5"/>
    <w:rsid w:val="00743EB9"/>
    <w:rsid w:val="00760F84"/>
    <w:rsid w:val="007758EB"/>
    <w:rsid w:val="00785065"/>
    <w:rsid w:val="007A7EA3"/>
    <w:rsid w:val="007C483F"/>
    <w:rsid w:val="007E5921"/>
    <w:rsid w:val="008037C6"/>
    <w:rsid w:val="0083771E"/>
    <w:rsid w:val="008816A2"/>
    <w:rsid w:val="00890160"/>
    <w:rsid w:val="008A3652"/>
    <w:rsid w:val="008B34EA"/>
    <w:rsid w:val="008B5FFF"/>
    <w:rsid w:val="008C139C"/>
    <w:rsid w:val="008C3E6E"/>
    <w:rsid w:val="00905642"/>
    <w:rsid w:val="00916BFF"/>
    <w:rsid w:val="00964533"/>
    <w:rsid w:val="00986ECD"/>
    <w:rsid w:val="0099198F"/>
    <w:rsid w:val="009978D9"/>
    <w:rsid w:val="009A0E21"/>
    <w:rsid w:val="009A55EB"/>
    <w:rsid w:val="009B3C3B"/>
    <w:rsid w:val="009C00FD"/>
    <w:rsid w:val="009D291F"/>
    <w:rsid w:val="009F45A4"/>
    <w:rsid w:val="009F5274"/>
    <w:rsid w:val="00A201EE"/>
    <w:rsid w:val="00A320CC"/>
    <w:rsid w:val="00AA047B"/>
    <w:rsid w:val="00AB0CEA"/>
    <w:rsid w:val="00AB320C"/>
    <w:rsid w:val="00AD14BC"/>
    <w:rsid w:val="00AD7E33"/>
    <w:rsid w:val="00AE503A"/>
    <w:rsid w:val="00AE5C3A"/>
    <w:rsid w:val="00AF24CC"/>
    <w:rsid w:val="00B0645F"/>
    <w:rsid w:val="00B203B2"/>
    <w:rsid w:val="00B24058"/>
    <w:rsid w:val="00B324B6"/>
    <w:rsid w:val="00B32B8A"/>
    <w:rsid w:val="00B57552"/>
    <w:rsid w:val="00B66240"/>
    <w:rsid w:val="00B679E3"/>
    <w:rsid w:val="00B77884"/>
    <w:rsid w:val="00BA48D7"/>
    <w:rsid w:val="00BB6048"/>
    <w:rsid w:val="00BC1FAB"/>
    <w:rsid w:val="00BC7D71"/>
    <w:rsid w:val="00BE66F3"/>
    <w:rsid w:val="00C01D04"/>
    <w:rsid w:val="00C06508"/>
    <w:rsid w:val="00C25D0D"/>
    <w:rsid w:val="00C35F68"/>
    <w:rsid w:val="00C46526"/>
    <w:rsid w:val="00C67F9D"/>
    <w:rsid w:val="00C72D07"/>
    <w:rsid w:val="00C72F50"/>
    <w:rsid w:val="00C84C03"/>
    <w:rsid w:val="00CA6F40"/>
    <w:rsid w:val="00CB355B"/>
    <w:rsid w:val="00CB4BDC"/>
    <w:rsid w:val="00D04E4C"/>
    <w:rsid w:val="00D42188"/>
    <w:rsid w:val="00D74891"/>
    <w:rsid w:val="00DC0444"/>
    <w:rsid w:val="00DC25E4"/>
    <w:rsid w:val="00DD6606"/>
    <w:rsid w:val="00DE3D38"/>
    <w:rsid w:val="00DF0D47"/>
    <w:rsid w:val="00DF17F5"/>
    <w:rsid w:val="00E13D99"/>
    <w:rsid w:val="00E207FB"/>
    <w:rsid w:val="00E244E4"/>
    <w:rsid w:val="00E3432D"/>
    <w:rsid w:val="00E5023D"/>
    <w:rsid w:val="00E53656"/>
    <w:rsid w:val="00E53BC9"/>
    <w:rsid w:val="00E571B8"/>
    <w:rsid w:val="00E67FD2"/>
    <w:rsid w:val="00EA47E2"/>
    <w:rsid w:val="00ED4C9B"/>
    <w:rsid w:val="00EF162C"/>
    <w:rsid w:val="00F0057A"/>
    <w:rsid w:val="00F024A9"/>
    <w:rsid w:val="00F2259A"/>
    <w:rsid w:val="00F24E74"/>
    <w:rsid w:val="00F311E4"/>
    <w:rsid w:val="00F43AB0"/>
    <w:rsid w:val="00F44111"/>
    <w:rsid w:val="00F474F9"/>
    <w:rsid w:val="00F50D29"/>
    <w:rsid w:val="00F727AD"/>
    <w:rsid w:val="00F74E5D"/>
    <w:rsid w:val="00F82AAA"/>
    <w:rsid w:val="00F97DFB"/>
    <w:rsid w:val="00F97FD8"/>
    <w:rsid w:val="00FA7768"/>
    <w:rsid w:val="00FC0EF2"/>
    <w:rsid w:val="00FC25E4"/>
    <w:rsid w:val="00FD060A"/>
    <w:rsid w:val="00FD6CB4"/>
    <w:rsid w:val="00FE7771"/>
    <w:rsid w:val="00FF5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654856"/>
  <w14:defaultImageDpi w14:val="0"/>
  <w15:docId w15:val="{51B303D6-AB73-4DE4-BD13-708E2326A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op">
    <w:name w:val="eop"/>
    <w:uiPriority w:val="99"/>
  </w:style>
  <w:style w:type="character" w:customStyle="1" w:styleId="normaltextru">
    <w:name w:val="normaltextru"/>
    <w:uiPriority w:val="99"/>
  </w:style>
  <w:style w:type="paragraph" w:customStyle="1" w:styleId="paragraph">
    <w:name w:val="paragraph"/>
    <w:uiPriority w:val="99"/>
    <w:pPr>
      <w:widowControl w:val="0"/>
      <w:autoSpaceDE w:val="0"/>
      <w:autoSpaceDN w:val="0"/>
      <w:adjustRightInd w:val="0"/>
      <w:spacing w:after="0" w:line="240" w:lineRule="auto"/>
      <w:jc w:val="both"/>
    </w:pPr>
    <w:rPr>
      <w:rFonts w:ascii="Times New Roman" w:hAnsi="Times New Roman"/>
      <w:sz w:val="24"/>
      <w:szCs w:val="24"/>
    </w:rPr>
  </w:style>
  <w:style w:type="paragraph" w:styleId="BalloonText">
    <w:name w:val="Balloon Text"/>
    <w:basedOn w:val="Normal"/>
    <w:link w:val="BalloonTextChar"/>
    <w:uiPriority w:val="99"/>
    <w:semiHidden/>
    <w:unhideWhenUsed/>
    <w:rsid w:val="002D4FAD"/>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D4FAD"/>
    <w:rPr>
      <w:rFonts w:ascii="Segoe UI" w:hAnsi="Segoe UI" w:cs="Segoe UI"/>
      <w:sz w:val="18"/>
      <w:szCs w:val="18"/>
    </w:rPr>
  </w:style>
  <w:style w:type="character" w:styleId="CommentReference">
    <w:name w:val="annotation reference"/>
    <w:basedOn w:val="DefaultParagraphFont"/>
    <w:uiPriority w:val="99"/>
    <w:semiHidden/>
    <w:unhideWhenUsed/>
    <w:rsid w:val="00905642"/>
    <w:rPr>
      <w:rFonts w:cs="Times New Roman"/>
      <w:sz w:val="16"/>
      <w:szCs w:val="16"/>
    </w:rPr>
  </w:style>
  <w:style w:type="paragraph" w:styleId="CommentText">
    <w:name w:val="annotation text"/>
    <w:basedOn w:val="Normal"/>
    <w:link w:val="CommentTextChar"/>
    <w:uiPriority w:val="99"/>
    <w:semiHidden/>
    <w:unhideWhenUsed/>
    <w:rsid w:val="00905642"/>
  </w:style>
  <w:style w:type="character" w:customStyle="1" w:styleId="CommentTextChar">
    <w:name w:val="Comment Text Char"/>
    <w:basedOn w:val="DefaultParagraphFont"/>
    <w:link w:val="CommentText"/>
    <w:uiPriority w:val="99"/>
    <w:semiHidden/>
    <w:locked/>
    <w:rsid w:val="0090564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05642"/>
    <w:rPr>
      <w:b/>
      <w:bCs/>
    </w:rPr>
  </w:style>
  <w:style w:type="character" w:customStyle="1" w:styleId="CommentSubjectChar">
    <w:name w:val="Comment Subject Char"/>
    <w:basedOn w:val="CommentTextChar"/>
    <w:link w:val="CommentSubject"/>
    <w:uiPriority w:val="99"/>
    <w:semiHidden/>
    <w:locked/>
    <w:rsid w:val="00905642"/>
    <w:rPr>
      <w:rFonts w:ascii="Times New Roman" w:hAnsi="Times New Roman" w:cs="Times New Roman"/>
      <w:b/>
      <w:bCs/>
      <w:sz w:val="20"/>
      <w:szCs w:val="20"/>
    </w:rPr>
  </w:style>
  <w:style w:type="paragraph" w:styleId="Header">
    <w:name w:val="header"/>
    <w:basedOn w:val="Normal"/>
    <w:link w:val="HeaderChar"/>
    <w:uiPriority w:val="99"/>
    <w:unhideWhenUsed/>
    <w:rsid w:val="001813EA"/>
    <w:pPr>
      <w:tabs>
        <w:tab w:val="center" w:pos="4680"/>
        <w:tab w:val="right" w:pos="9360"/>
      </w:tabs>
    </w:pPr>
  </w:style>
  <w:style w:type="character" w:customStyle="1" w:styleId="HeaderChar">
    <w:name w:val="Header Char"/>
    <w:basedOn w:val="DefaultParagraphFont"/>
    <w:link w:val="Header"/>
    <w:uiPriority w:val="99"/>
    <w:rsid w:val="001813EA"/>
    <w:rPr>
      <w:rFonts w:ascii="Times New Roman" w:hAnsi="Times New Roman"/>
      <w:sz w:val="20"/>
      <w:szCs w:val="20"/>
    </w:rPr>
  </w:style>
  <w:style w:type="paragraph" w:styleId="Footer">
    <w:name w:val="footer"/>
    <w:basedOn w:val="Normal"/>
    <w:link w:val="FooterChar"/>
    <w:uiPriority w:val="99"/>
    <w:unhideWhenUsed/>
    <w:rsid w:val="001813EA"/>
    <w:pPr>
      <w:tabs>
        <w:tab w:val="center" w:pos="4680"/>
        <w:tab w:val="right" w:pos="9360"/>
      </w:tabs>
    </w:pPr>
  </w:style>
  <w:style w:type="character" w:customStyle="1" w:styleId="FooterChar">
    <w:name w:val="Footer Char"/>
    <w:basedOn w:val="DefaultParagraphFont"/>
    <w:link w:val="Footer"/>
    <w:uiPriority w:val="99"/>
    <w:rsid w:val="001813EA"/>
    <w:rPr>
      <w:rFonts w:ascii="Times New Roman" w:hAnsi="Times New Roman"/>
      <w:sz w:val="20"/>
      <w:szCs w:val="20"/>
    </w:rPr>
  </w:style>
  <w:style w:type="paragraph" w:styleId="EndnoteText">
    <w:name w:val="endnote text"/>
    <w:basedOn w:val="Normal"/>
    <w:link w:val="EndnoteTextChar"/>
    <w:uiPriority w:val="99"/>
    <w:semiHidden/>
    <w:unhideWhenUsed/>
    <w:rsid w:val="00FE7771"/>
  </w:style>
  <w:style w:type="character" w:customStyle="1" w:styleId="EndnoteTextChar">
    <w:name w:val="Endnote Text Char"/>
    <w:basedOn w:val="DefaultParagraphFont"/>
    <w:link w:val="EndnoteText"/>
    <w:uiPriority w:val="99"/>
    <w:semiHidden/>
    <w:rsid w:val="00FE7771"/>
    <w:rPr>
      <w:rFonts w:ascii="Times New Roman" w:hAnsi="Times New Roman"/>
      <w:sz w:val="20"/>
      <w:szCs w:val="20"/>
    </w:rPr>
  </w:style>
  <w:style w:type="character" w:styleId="EndnoteReference">
    <w:name w:val="endnote reference"/>
    <w:basedOn w:val="DefaultParagraphFont"/>
    <w:uiPriority w:val="99"/>
    <w:semiHidden/>
    <w:unhideWhenUsed/>
    <w:rsid w:val="00FE7771"/>
    <w:rPr>
      <w:vertAlign w:val="superscript"/>
    </w:rPr>
  </w:style>
  <w:style w:type="character" w:styleId="Hyperlink">
    <w:name w:val="Hyperlink"/>
    <w:basedOn w:val="DefaultParagraphFont"/>
    <w:uiPriority w:val="99"/>
    <w:unhideWhenUsed/>
    <w:rsid w:val="005A7D68"/>
    <w:rPr>
      <w:color w:val="0000FF"/>
      <w:u w:val="single"/>
    </w:rPr>
  </w:style>
  <w:style w:type="character" w:styleId="FollowedHyperlink">
    <w:name w:val="FollowedHyperlink"/>
    <w:basedOn w:val="DefaultParagraphFont"/>
    <w:uiPriority w:val="99"/>
    <w:semiHidden/>
    <w:unhideWhenUsed/>
    <w:rsid w:val="00C72D07"/>
    <w:rPr>
      <w:color w:val="954F72" w:themeColor="followedHyperlink"/>
      <w:u w:val="single"/>
    </w:rPr>
  </w:style>
  <w:style w:type="character" w:styleId="UnresolvedMention">
    <w:name w:val="Unresolved Mention"/>
    <w:basedOn w:val="DefaultParagraphFont"/>
    <w:uiPriority w:val="99"/>
    <w:semiHidden/>
    <w:unhideWhenUsed/>
    <w:rsid w:val="00DF0D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044994">
      <w:bodyDiv w:val="1"/>
      <w:marLeft w:val="0"/>
      <w:marRight w:val="0"/>
      <w:marTop w:val="0"/>
      <w:marBottom w:val="0"/>
      <w:divBdr>
        <w:top w:val="none" w:sz="0" w:space="0" w:color="auto"/>
        <w:left w:val="none" w:sz="0" w:space="0" w:color="auto"/>
        <w:bottom w:val="none" w:sz="0" w:space="0" w:color="auto"/>
        <w:right w:val="none" w:sz="0" w:space="0" w:color="auto"/>
      </w:divBdr>
      <w:divsChild>
        <w:div w:id="1467119592">
          <w:marLeft w:val="0"/>
          <w:marRight w:val="0"/>
          <w:marTop w:val="0"/>
          <w:marBottom w:val="0"/>
          <w:divBdr>
            <w:top w:val="none" w:sz="0" w:space="0" w:color="auto"/>
            <w:left w:val="none" w:sz="0" w:space="0" w:color="auto"/>
            <w:bottom w:val="none" w:sz="0" w:space="0" w:color="auto"/>
            <w:right w:val="none" w:sz="0" w:space="0" w:color="auto"/>
          </w:divBdr>
          <w:divsChild>
            <w:div w:id="16003828">
              <w:marLeft w:val="0"/>
              <w:marRight w:val="0"/>
              <w:marTop w:val="0"/>
              <w:marBottom w:val="0"/>
              <w:divBdr>
                <w:top w:val="none" w:sz="0" w:space="0" w:color="auto"/>
                <w:left w:val="none" w:sz="0" w:space="0" w:color="auto"/>
                <w:bottom w:val="none" w:sz="0" w:space="0" w:color="auto"/>
                <w:right w:val="none" w:sz="0" w:space="0" w:color="auto"/>
              </w:divBdr>
              <w:divsChild>
                <w:div w:id="99059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197822">
      <w:bodyDiv w:val="1"/>
      <w:marLeft w:val="0"/>
      <w:marRight w:val="0"/>
      <w:marTop w:val="0"/>
      <w:marBottom w:val="0"/>
      <w:divBdr>
        <w:top w:val="none" w:sz="0" w:space="0" w:color="auto"/>
        <w:left w:val="none" w:sz="0" w:space="0" w:color="auto"/>
        <w:bottom w:val="none" w:sz="0" w:space="0" w:color="auto"/>
        <w:right w:val="none" w:sz="0" w:space="0" w:color="auto"/>
      </w:divBdr>
      <w:divsChild>
        <w:div w:id="499463216">
          <w:marLeft w:val="0"/>
          <w:marRight w:val="0"/>
          <w:marTop w:val="0"/>
          <w:marBottom w:val="0"/>
          <w:divBdr>
            <w:top w:val="none" w:sz="0" w:space="0" w:color="auto"/>
            <w:left w:val="none" w:sz="0" w:space="0" w:color="auto"/>
            <w:bottom w:val="none" w:sz="0" w:space="0" w:color="auto"/>
            <w:right w:val="none" w:sz="0" w:space="0" w:color="auto"/>
          </w:divBdr>
          <w:divsChild>
            <w:div w:id="1569219889">
              <w:marLeft w:val="0"/>
              <w:marRight w:val="0"/>
              <w:marTop w:val="0"/>
              <w:marBottom w:val="0"/>
              <w:divBdr>
                <w:top w:val="none" w:sz="0" w:space="0" w:color="auto"/>
                <w:left w:val="none" w:sz="0" w:space="0" w:color="auto"/>
                <w:bottom w:val="none" w:sz="0" w:space="0" w:color="auto"/>
                <w:right w:val="none" w:sz="0" w:space="0" w:color="auto"/>
              </w:divBdr>
              <w:divsChild>
                <w:div w:id="34008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472517">
      <w:bodyDiv w:val="1"/>
      <w:marLeft w:val="0"/>
      <w:marRight w:val="0"/>
      <w:marTop w:val="0"/>
      <w:marBottom w:val="0"/>
      <w:divBdr>
        <w:top w:val="none" w:sz="0" w:space="0" w:color="auto"/>
        <w:left w:val="none" w:sz="0" w:space="0" w:color="auto"/>
        <w:bottom w:val="none" w:sz="0" w:space="0" w:color="auto"/>
        <w:right w:val="none" w:sz="0" w:space="0" w:color="auto"/>
      </w:divBdr>
      <w:divsChild>
        <w:div w:id="113449825">
          <w:marLeft w:val="0"/>
          <w:marRight w:val="0"/>
          <w:marTop w:val="0"/>
          <w:marBottom w:val="0"/>
          <w:divBdr>
            <w:top w:val="none" w:sz="0" w:space="0" w:color="auto"/>
            <w:left w:val="none" w:sz="0" w:space="0" w:color="auto"/>
            <w:bottom w:val="none" w:sz="0" w:space="0" w:color="auto"/>
            <w:right w:val="none" w:sz="0" w:space="0" w:color="auto"/>
          </w:divBdr>
          <w:divsChild>
            <w:div w:id="1691834521">
              <w:marLeft w:val="0"/>
              <w:marRight w:val="0"/>
              <w:marTop w:val="0"/>
              <w:marBottom w:val="0"/>
              <w:divBdr>
                <w:top w:val="none" w:sz="0" w:space="0" w:color="auto"/>
                <w:left w:val="none" w:sz="0" w:space="0" w:color="auto"/>
                <w:bottom w:val="none" w:sz="0" w:space="0" w:color="auto"/>
                <w:right w:val="none" w:sz="0" w:space="0" w:color="auto"/>
              </w:divBdr>
              <w:divsChild>
                <w:div w:id="4169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410025">
      <w:bodyDiv w:val="1"/>
      <w:marLeft w:val="0"/>
      <w:marRight w:val="0"/>
      <w:marTop w:val="0"/>
      <w:marBottom w:val="0"/>
      <w:divBdr>
        <w:top w:val="none" w:sz="0" w:space="0" w:color="auto"/>
        <w:left w:val="none" w:sz="0" w:space="0" w:color="auto"/>
        <w:bottom w:val="none" w:sz="0" w:space="0" w:color="auto"/>
        <w:right w:val="none" w:sz="0" w:space="0" w:color="auto"/>
      </w:divBdr>
      <w:divsChild>
        <w:div w:id="1917086020">
          <w:marLeft w:val="0"/>
          <w:marRight w:val="0"/>
          <w:marTop w:val="0"/>
          <w:marBottom w:val="0"/>
          <w:divBdr>
            <w:top w:val="none" w:sz="0" w:space="0" w:color="auto"/>
            <w:left w:val="none" w:sz="0" w:space="0" w:color="auto"/>
            <w:bottom w:val="none" w:sz="0" w:space="0" w:color="auto"/>
            <w:right w:val="none" w:sz="0" w:space="0" w:color="auto"/>
          </w:divBdr>
          <w:divsChild>
            <w:div w:id="1350108066">
              <w:marLeft w:val="0"/>
              <w:marRight w:val="0"/>
              <w:marTop w:val="0"/>
              <w:marBottom w:val="0"/>
              <w:divBdr>
                <w:top w:val="none" w:sz="0" w:space="0" w:color="auto"/>
                <w:left w:val="none" w:sz="0" w:space="0" w:color="auto"/>
                <w:bottom w:val="none" w:sz="0" w:space="0" w:color="auto"/>
                <w:right w:val="none" w:sz="0" w:space="0" w:color="auto"/>
              </w:divBdr>
              <w:divsChild>
                <w:div w:id="35889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3872F-0865-4AAC-9618-CC2068EC7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523</TotalTime>
  <Pages>2</Pages>
  <Words>773</Words>
  <Characters>3830</Characters>
  <Application>Microsoft Office Word</Application>
  <DocSecurity>0</DocSecurity>
  <Lines>75</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Whiteman</dc:creator>
  <cp:keywords/>
  <dc:description/>
  <cp:lastModifiedBy>Bill Donnino</cp:lastModifiedBy>
  <cp:revision>191</cp:revision>
  <cp:lastPrinted>2022-11-22T04:32:00Z</cp:lastPrinted>
  <dcterms:created xsi:type="dcterms:W3CDTF">2022-08-18T20:02:00Z</dcterms:created>
  <dcterms:modified xsi:type="dcterms:W3CDTF">2022-11-22T04:32:00Z</dcterms:modified>
</cp:coreProperties>
</file>