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BE09" w14:textId="3AEB08FF" w:rsidR="00D81CC5" w:rsidRPr="009D7347" w:rsidRDefault="00D81CC5" w:rsidP="009D7347">
      <w:pPr>
        <w:spacing w:before="0"/>
        <w:jc w:val="both"/>
        <w:rPr>
          <w:b/>
          <w:bCs/>
          <w:sz w:val="28"/>
          <w:szCs w:val="28"/>
        </w:rPr>
      </w:pPr>
      <w:r w:rsidRPr="009D7347">
        <w:rPr>
          <w:b/>
          <w:bCs/>
          <w:sz w:val="28"/>
          <w:szCs w:val="28"/>
        </w:rPr>
        <w:t>4.1</w:t>
      </w:r>
      <w:r w:rsidR="00721F98" w:rsidRPr="009D7347">
        <w:rPr>
          <w:b/>
          <w:bCs/>
          <w:sz w:val="28"/>
          <w:szCs w:val="28"/>
        </w:rPr>
        <w:t>2</w:t>
      </w:r>
      <w:r w:rsidRPr="009D7347">
        <w:rPr>
          <w:b/>
          <w:bCs/>
          <w:sz w:val="28"/>
          <w:szCs w:val="28"/>
        </w:rPr>
        <w:t xml:space="preserve"> Contracts in small print </w:t>
      </w:r>
      <w:r w:rsidR="00565F1F">
        <w:rPr>
          <w:b/>
          <w:bCs/>
          <w:sz w:val="28"/>
          <w:szCs w:val="28"/>
        </w:rPr>
        <w:t>(</w:t>
      </w:r>
      <w:r w:rsidRPr="009D7347">
        <w:rPr>
          <w:b/>
          <w:bCs/>
          <w:sz w:val="28"/>
          <w:szCs w:val="28"/>
        </w:rPr>
        <w:t>CPLR 4544</w:t>
      </w:r>
      <w:r w:rsidR="00565F1F">
        <w:rPr>
          <w:b/>
          <w:bCs/>
          <w:sz w:val="28"/>
          <w:szCs w:val="28"/>
        </w:rPr>
        <w:t>)</w:t>
      </w:r>
      <w:r w:rsidRPr="009D7347">
        <w:rPr>
          <w:b/>
          <w:bCs/>
          <w:sz w:val="28"/>
          <w:szCs w:val="28"/>
        </w:rPr>
        <w:t>.</w:t>
      </w:r>
    </w:p>
    <w:p w14:paraId="27C42721" w14:textId="77777777" w:rsidR="00D81CC5" w:rsidRPr="009D7347" w:rsidRDefault="00D81CC5" w:rsidP="009D7347">
      <w:pPr>
        <w:spacing w:before="0"/>
        <w:jc w:val="both"/>
        <w:rPr>
          <w:b/>
          <w:bCs/>
          <w:sz w:val="28"/>
          <w:szCs w:val="28"/>
        </w:rPr>
      </w:pPr>
    </w:p>
    <w:p w14:paraId="59422C41" w14:textId="5F908D7C" w:rsidR="00D81CC5" w:rsidRPr="009D7347" w:rsidRDefault="00D81CC5" w:rsidP="009D7347">
      <w:pPr>
        <w:spacing w:before="0"/>
        <w:ind w:left="720" w:right="720"/>
        <w:jc w:val="both"/>
        <w:rPr>
          <w:b/>
          <w:bCs/>
          <w:sz w:val="28"/>
          <w:szCs w:val="28"/>
        </w:rPr>
      </w:pPr>
      <w:r w:rsidRPr="009D7347">
        <w:rPr>
          <w:b/>
          <w:bCs/>
          <w:sz w:val="28"/>
          <w:szCs w:val="28"/>
        </w:rPr>
        <w:t>The portion of any printed contract or agreement involving a consumer transaction or a lease for space to be occupied for residential purposes where the print is not clear and legible or is less than eight points in depth or five and one-half points in depth for upper case type may not be received in evidence in any trial, hearing or proceeding on behalf of the party who printed or prepared such contract or agreement, or who caused said agreement or contract to be printed or prepared.</w:t>
      </w:r>
    </w:p>
    <w:p w14:paraId="1280A00C" w14:textId="77777777" w:rsidR="00D81CC5" w:rsidRPr="009D7347" w:rsidRDefault="00D81CC5" w:rsidP="009D7347">
      <w:pPr>
        <w:spacing w:before="0"/>
        <w:ind w:right="720"/>
        <w:jc w:val="both"/>
        <w:rPr>
          <w:b/>
          <w:bCs/>
          <w:sz w:val="28"/>
          <w:szCs w:val="28"/>
        </w:rPr>
      </w:pPr>
    </w:p>
    <w:p w14:paraId="71FB96D6" w14:textId="6EF0CC68" w:rsidR="00D81CC5" w:rsidRPr="009D7347" w:rsidRDefault="00D81CC5" w:rsidP="009D7347">
      <w:pPr>
        <w:spacing w:before="0"/>
        <w:ind w:left="720" w:right="720"/>
        <w:jc w:val="both"/>
        <w:rPr>
          <w:b/>
          <w:bCs/>
          <w:sz w:val="28"/>
          <w:szCs w:val="28"/>
        </w:rPr>
      </w:pPr>
      <w:r w:rsidRPr="009D7347">
        <w:rPr>
          <w:b/>
          <w:bCs/>
          <w:sz w:val="28"/>
          <w:szCs w:val="28"/>
        </w:rPr>
        <w:t xml:space="preserve">As used in the immediately preceding sentence, the term </w:t>
      </w:r>
      <w:r w:rsidR="00161CEE">
        <w:rPr>
          <w:b/>
          <w:bCs/>
          <w:sz w:val="28"/>
          <w:szCs w:val="28"/>
        </w:rPr>
        <w:t>“</w:t>
      </w:r>
      <w:r w:rsidRPr="009D7347">
        <w:rPr>
          <w:b/>
          <w:bCs/>
          <w:sz w:val="28"/>
          <w:szCs w:val="28"/>
        </w:rPr>
        <w:t>consumer transaction</w:t>
      </w:r>
      <w:r w:rsidR="00161CEE">
        <w:rPr>
          <w:b/>
          <w:bCs/>
          <w:sz w:val="28"/>
          <w:szCs w:val="28"/>
        </w:rPr>
        <w:t>”</w:t>
      </w:r>
      <w:r w:rsidRPr="009D7347">
        <w:rPr>
          <w:b/>
          <w:bCs/>
          <w:sz w:val="28"/>
          <w:szCs w:val="28"/>
        </w:rPr>
        <w:t xml:space="preserve"> means a transaction wherein the money, property or service which is the subject of the transaction is primarily for personal, family or household purposes.</w:t>
      </w:r>
    </w:p>
    <w:p w14:paraId="4F40A0F9" w14:textId="77777777" w:rsidR="00D81CC5" w:rsidRPr="009D7347" w:rsidRDefault="00D81CC5" w:rsidP="009D7347">
      <w:pPr>
        <w:spacing w:before="0"/>
        <w:ind w:right="720"/>
        <w:jc w:val="both"/>
        <w:rPr>
          <w:b/>
          <w:bCs/>
          <w:sz w:val="28"/>
          <w:szCs w:val="28"/>
        </w:rPr>
      </w:pPr>
    </w:p>
    <w:p w14:paraId="40849F19" w14:textId="720F75C7" w:rsidR="00D81CC5" w:rsidRPr="009D7347" w:rsidRDefault="00D81CC5" w:rsidP="009D7347">
      <w:pPr>
        <w:spacing w:before="0"/>
        <w:ind w:left="720" w:right="720"/>
        <w:jc w:val="both"/>
        <w:rPr>
          <w:b/>
          <w:bCs/>
          <w:sz w:val="28"/>
          <w:szCs w:val="28"/>
        </w:rPr>
      </w:pPr>
      <w:r w:rsidRPr="009D7347">
        <w:rPr>
          <w:b/>
          <w:bCs/>
          <w:sz w:val="28"/>
          <w:szCs w:val="28"/>
        </w:rPr>
        <w:t>No provision of any contract or agreement waiving the provisions of this section shall be effective.</w:t>
      </w:r>
    </w:p>
    <w:p w14:paraId="18BB84E0" w14:textId="77777777" w:rsidR="00D81CC5" w:rsidRPr="009D7347" w:rsidRDefault="00D81CC5" w:rsidP="009D7347">
      <w:pPr>
        <w:spacing w:before="0"/>
        <w:ind w:right="720"/>
        <w:jc w:val="both"/>
        <w:rPr>
          <w:b/>
          <w:bCs/>
          <w:sz w:val="28"/>
          <w:szCs w:val="28"/>
        </w:rPr>
      </w:pPr>
    </w:p>
    <w:p w14:paraId="2B1DD7E2" w14:textId="3AD8582D" w:rsidR="00D81CC5" w:rsidRPr="009D7347" w:rsidRDefault="00D81CC5" w:rsidP="009D7347">
      <w:pPr>
        <w:spacing w:before="0"/>
        <w:ind w:left="720" w:right="720"/>
        <w:jc w:val="both"/>
        <w:rPr>
          <w:b/>
          <w:bCs/>
          <w:sz w:val="28"/>
          <w:szCs w:val="28"/>
        </w:rPr>
      </w:pPr>
      <w:r w:rsidRPr="009D7347">
        <w:rPr>
          <w:b/>
          <w:bCs/>
          <w:sz w:val="28"/>
          <w:szCs w:val="28"/>
        </w:rPr>
        <w:t xml:space="preserve">The provisions of this section shall not apply to agreements or contracts </w:t>
      </w:r>
      <w:proofErr w:type="gramStart"/>
      <w:r w:rsidRPr="009D7347">
        <w:rPr>
          <w:b/>
          <w:bCs/>
          <w:sz w:val="28"/>
          <w:szCs w:val="28"/>
        </w:rPr>
        <w:t>entered into</w:t>
      </w:r>
      <w:proofErr w:type="gramEnd"/>
      <w:r w:rsidRPr="009D7347">
        <w:rPr>
          <w:b/>
          <w:bCs/>
          <w:sz w:val="28"/>
          <w:szCs w:val="28"/>
        </w:rPr>
        <w:t xml:space="preserve"> prior to the effective date of this section.</w:t>
      </w:r>
    </w:p>
    <w:p w14:paraId="32EFCA1A" w14:textId="0F2709CE" w:rsidR="00D81CC5" w:rsidRPr="009D7347" w:rsidRDefault="00D81CC5" w:rsidP="009D7347">
      <w:pPr>
        <w:spacing w:before="0"/>
        <w:jc w:val="both"/>
        <w:rPr>
          <w:b/>
          <w:bCs/>
          <w:sz w:val="28"/>
          <w:szCs w:val="28"/>
        </w:rPr>
      </w:pPr>
    </w:p>
    <w:p w14:paraId="3429087C" w14:textId="696EF859" w:rsidR="00D81CC5" w:rsidRPr="009D7347" w:rsidRDefault="00D81CC5" w:rsidP="009D7347">
      <w:pPr>
        <w:spacing w:before="0"/>
        <w:jc w:val="center"/>
        <w:rPr>
          <w:b/>
          <w:bCs/>
        </w:rPr>
      </w:pPr>
      <w:r w:rsidRPr="009D7347">
        <w:rPr>
          <w:b/>
          <w:bCs/>
        </w:rPr>
        <w:t>Note</w:t>
      </w:r>
    </w:p>
    <w:p w14:paraId="613A57D4" w14:textId="164856A1" w:rsidR="00E65C97" w:rsidRPr="009D7347" w:rsidRDefault="00E65C97" w:rsidP="009D7347">
      <w:pPr>
        <w:spacing w:before="0"/>
        <w:rPr>
          <w:b/>
          <w:bCs/>
        </w:rPr>
      </w:pPr>
    </w:p>
    <w:p w14:paraId="4ACC0F60" w14:textId="1B77A5B7" w:rsidR="00023091" w:rsidRPr="009D7347" w:rsidRDefault="00E65C97" w:rsidP="009D7347">
      <w:pPr>
        <w:spacing w:before="0"/>
        <w:jc w:val="both"/>
      </w:pPr>
      <w:r w:rsidRPr="009D7347">
        <w:rPr>
          <w:b/>
          <w:bCs/>
        </w:rPr>
        <w:tab/>
      </w:r>
      <w:r w:rsidRPr="009D7347">
        <w:t xml:space="preserve">This rule restates verbatim CPLR 4544. </w:t>
      </w:r>
      <w:r w:rsidR="006F4E1C" w:rsidRPr="009D7347">
        <w:t xml:space="preserve">The </w:t>
      </w:r>
      <w:r w:rsidR="004048CB" w:rsidRPr="009D7347">
        <w:t xml:space="preserve">statute’s </w:t>
      </w:r>
      <w:r w:rsidR="006F4E1C" w:rsidRPr="009D7347">
        <w:t>purpose is to</w:t>
      </w:r>
      <w:r w:rsidR="00BB1276" w:rsidRPr="009D7347">
        <w:t xml:space="preserve"> require that a contract or </w:t>
      </w:r>
      <w:r w:rsidR="006F4E1C" w:rsidRPr="009D7347">
        <w:t>agreement be legible when the contract o</w:t>
      </w:r>
      <w:r w:rsidR="008004B6" w:rsidRPr="009D7347">
        <w:t>r</w:t>
      </w:r>
      <w:r w:rsidR="006F4E1C" w:rsidRPr="009D7347">
        <w:t xml:space="preserve"> agreement involves </w:t>
      </w:r>
      <w:r w:rsidR="00565F1F">
        <w:t>(</w:t>
      </w:r>
      <w:r w:rsidR="006F4E1C" w:rsidRPr="009D7347">
        <w:t>1</w:t>
      </w:r>
      <w:r w:rsidR="00565F1F">
        <w:t>)</w:t>
      </w:r>
      <w:r w:rsidR="006F4E1C" w:rsidRPr="009D7347">
        <w:t xml:space="preserve"> a consumer transaction (as defined in the second sentence) or </w:t>
      </w:r>
      <w:r w:rsidR="00565F1F">
        <w:t>(</w:t>
      </w:r>
      <w:r w:rsidR="006F4E1C" w:rsidRPr="009D7347">
        <w:t>2</w:t>
      </w:r>
      <w:r w:rsidR="00565F1F">
        <w:t>)</w:t>
      </w:r>
      <w:r w:rsidR="006F4E1C" w:rsidRPr="009D7347">
        <w:t xml:space="preserve"> a lease for space to be occupied for “residential purposes.” Th</w:t>
      </w:r>
      <w:r w:rsidR="00240D1F" w:rsidRPr="009D7347">
        <w:t>e statute</w:t>
      </w:r>
      <w:r w:rsidR="00550E47" w:rsidRPr="009D7347">
        <w:t xml:space="preserve"> accomplishes that </w:t>
      </w:r>
      <w:r w:rsidR="006F4E1C" w:rsidRPr="009D7347">
        <w:t xml:space="preserve">purpose by precluding the </w:t>
      </w:r>
      <w:r w:rsidR="004E791C" w:rsidRPr="009D7347">
        <w:t>introduction in evidence at a trial, hearing, or proceeding</w:t>
      </w:r>
      <w:r w:rsidR="006F4E1C" w:rsidRPr="009D7347">
        <w:t xml:space="preserve"> </w:t>
      </w:r>
      <w:r w:rsidR="00BB5CB1" w:rsidRPr="009D7347">
        <w:t xml:space="preserve">on behalf of the party who “printed or prepared” </w:t>
      </w:r>
      <w:r w:rsidR="00965A87" w:rsidRPr="009D7347">
        <w:t xml:space="preserve">a contract or agreement </w:t>
      </w:r>
      <w:r w:rsidR="00CD18CF" w:rsidRPr="009D7347">
        <w:t xml:space="preserve">(or caused </w:t>
      </w:r>
      <w:r w:rsidR="00A94D60" w:rsidRPr="009D7347">
        <w:t>same</w:t>
      </w:r>
      <w:r w:rsidR="00CD18CF" w:rsidRPr="009D7347">
        <w:t xml:space="preserve"> to be printed or pre</w:t>
      </w:r>
      <w:r w:rsidR="00FC023A" w:rsidRPr="009D7347">
        <w:t xml:space="preserve">pared) </w:t>
      </w:r>
      <w:r w:rsidR="00965A87" w:rsidRPr="009D7347">
        <w:t xml:space="preserve">that fails to meet the </w:t>
      </w:r>
      <w:r w:rsidR="00E92169" w:rsidRPr="009D7347">
        <w:t>statute’s</w:t>
      </w:r>
      <w:r w:rsidR="00BB5CB1" w:rsidRPr="009D7347">
        <w:t xml:space="preserve"> </w:t>
      </w:r>
      <w:r w:rsidR="00965A87" w:rsidRPr="009D7347">
        <w:t>legibility requirements</w:t>
      </w:r>
      <w:r w:rsidR="00EA15A0" w:rsidRPr="009D7347">
        <w:t>.</w:t>
      </w:r>
    </w:p>
    <w:p w14:paraId="10095F1F" w14:textId="77777777" w:rsidR="00023091" w:rsidRPr="009D7347" w:rsidRDefault="00023091" w:rsidP="009D7347">
      <w:pPr>
        <w:spacing w:before="0"/>
        <w:jc w:val="both"/>
      </w:pPr>
    </w:p>
    <w:p w14:paraId="48308EF2" w14:textId="2D91D50C" w:rsidR="00E17B7E" w:rsidRPr="009D7347" w:rsidRDefault="00C06E00" w:rsidP="009D7347">
      <w:pPr>
        <w:spacing w:before="0"/>
        <w:ind w:firstLine="720"/>
        <w:jc w:val="both"/>
      </w:pPr>
      <w:r w:rsidRPr="009D7347">
        <w:t xml:space="preserve">The </w:t>
      </w:r>
      <w:r w:rsidR="00D52484" w:rsidRPr="009D7347">
        <w:t>statute’s prohibition on its provisions being waived</w:t>
      </w:r>
      <w:r w:rsidR="00496D4D" w:rsidRPr="009D7347">
        <w:t xml:space="preserve"> further protects the person who stands to be victimized by the </w:t>
      </w:r>
      <w:r w:rsidR="00314A6A" w:rsidRPr="009D7347">
        <w:t>illegible writing</w:t>
      </w:r>
      <w:r w:rsidR="00B13901" w:rsidRPr="009D7347">
        <w:rPr>
          <w:i/>
          <w:iCs/>
        </w:rPr>
        <w:t xml:space="preserve"> </w:t>
      </w:r>
      <w:r w:rsidR="005636CC" w:rsidRPr="009D7347">
        <w:t>(</w:t>
      </w:r>
      <w:r w:rsidR="00B13901" w:rsidRPr="009D7347">
        <w:rPr>
          <w:i/>
          <w:iCs/>
        </w:rPr>
        <w:t xml:space="preserve">Matter of </w:t>
      </w:r>
      <w:proofErr w:type="spellStart"/>
      <w:r w:rsidR="00B13901" w:rsidRPr="009D7347">
        <w:rPr>
          <w:i/>
          <w:iCs/>
        </w:rPr>
        <w:t>Filippazzo</w:t>
      </w:r>
      <w:proofErr w:type="spellEnd"/>
      <w:r w:rsidR="00B13901" w:rsidRPr="009D7347">
        <w:rPr>
          <w:i/>
          <w:iCs/>
        </w:rPr>
        <w:t xml:space="preserve"> v Garden State Brickface Co.</w:t>
      </w:r>
      <w:r w:rsidR="00B13901" w:rsidRPr="009D7347">
        <w:t>, 120 AD2d 663, 665</w:t>
      </w:r>
      <w:r w:rsidR="0006791A" w:rsidRPr="009D7347">
        <w:t xml:space="preserve"> </w:t>
      </w:r>
      <w:r w:rsidR="00B13901" w:rsidRPr="009D7347">
        <w:t xml:space="preserve">[2d Dept 1986] [“Although this statute speaks in terms of the admissibility in evidence of such a contract, the underlying purpose of this </w:t>
      </w:r>
      <w:r w:rsidR="00193D3E" w:rsidRPr="009D7347">
        <w:t>‘</w:t>
      </w:r>
      <w:r w:rsidR="00B13901" w:rsidRPr="009D7347">
        <w:t>consumer</w:t>
      </w:r>
      <w:r w:rsidR="00193D3E" w:rsidRPr="009D7347">
        <w:t>’</w:t>
      </w:r>
      <w:r w:rsidR="00B13901" w:rsidRPr="009D7347">
        <w:t xml:space="preserve"> legislation is to prevent </w:t>
      </w:r>
      <w:r w:rsidR="00B13901" w:rsidRPr="009D7347">
        <w:lastRenderedPageBreak/>
        <w:t>draftsmen of small, illegibly printed clauses from enforcing them</w:t>
      </w:r>
      <w:r w:rsidR="0046281F" w:rsidRPr="009D7347">
        <w:t xml:space="preserve"> </w:t>
      </w:r>
      <w:proofErr w:type="gramStart"/>
      <w:r w:rsidR="0046281F" w:rsidRPr="009D7347">
        <w:t xml:space="preserve">. . . </w:t>
      </w:r>
      <w:r w:rsidR="00193D3E" w:rsidRPr="009D7347">
        <w:t>.</w:t>
      </w:r>
      <w:proofErr w:type="gramEnd"/>
      <w:r w:rsidR="00B13901" w:rsidRPr="009D7347">
        <w:t xml:space="preserve"> The few cases construing this statute interpret it as rendering a contract</w:t>
      </w:r>
      <w:r w:rsidR="00161CEE">
        <w:t>’</w:t>
      </w:r>
      <w:r w:rsidR="00B13901" w:rsidRPr="009D7347">
        <w:t xml:space="preserve">s provisions </w:t>
      </w:r>
      <w:r w:rsidR="0046281F" w:rsidRPr="009D7347">
        <w:t>‘</w:t>
      </w:r>
      <w:r w:rsidR="00B13901" w:rsidRPr="009D7347">
        <w:t>unenforceable</w:t>
      </w:r>
      <w:r w:rsidR="0046281F" w:rsidRPr="009D7347">
        <w:t>’</w:t>
      </w:r>
      <w:r w:rsidR="00B13901" w:rsidRPr="009D7347">
        <w:t xml:space="preserve"> if printed in </w:t>
      </w:r>
      <w:r w:rsidR="0046281F" w:rsidRPr="009D7347">
        <w:t>‘</w:t>
      </w:r>
      <w:r w:rsidR="00B13901" w:rsidRPr="009D7347">
        <w:t>small print</w:t>
      </w:r>
      <w:r w:rsidR="0046281F" w:rsidRPr="009D7347">
        <w:t>’</w:t>
      </w:r>
      <w:r w:rsidR="005636CC" w:rsidRPr="009D7347">
        <w:t xml:space="preserve"> </w:t>
      </w:r>
      <w:r w:rsidR="00B13901" w:rsidRPr="009D7347">
        <w:t>”</w:t>
      </w:r>
      <w:r w:rsidR="0046281F" w:rsidRPr="009D7347">
        <w:t>]</w:t>
      </w:r>
      <w:r w:rsidR="00ED05E0" w:rsidRPr="009D7347">
        <w:t>;</w:t>
      </w:r>
      <w:r w:rsidR="00E17B7E" w:rsidRPr="009D7347">
        <w:t xml:space="preserve"> </w:t>
      </w:r>
      <w:r w:rsidR="00ED05E0" w:rsidRPr="009D7347">
        <w:rPr>
          <w:i/>
          <w:iCs/>
        </w:rPr>
        <w:t>s</w:t>
      </w:r>
      <w:r w:rsidR="00E17B7E" w:rsidRPr="009D7347">
        <w:rPr>
          <w:i/>
          <w:iCs/>
        </w:rPr>
        <w:t xml:space="preserve">ee </w:t>
      </w:r>
      <w:bookmarkStart w:id="0" w:name="_Hlk103524915"/>
      <w:r w:rsidR="00E17B7E" w:rsidRPr="009D7347">
        <w:rPr>
          <w:i/>
          <w:iCs/>
        </w:rPr>
        <w:t>St</w:t>
      </w:r>
      <w:r w:rsidR="000E22F4" w:rsidRPr="009D7347">
        <w:rPr>
          <w:i/>
          <w:iCs/>
        </w:rPr>
        <w:t>reet</w:t>
      </w:r>
      <w:r w:rsidR="00E17B7E" w:rsidRPr="009D7347">
        <w:rPr>
          <w:i/>
          <w:iCs/>
        </w:rPr>
        <w:t xml:space="preserve"> v Davis</w:t>
      </w:r>
      <w:r w:rsidR="00E17B7E" w:rsidRPr="009D7347">
        <w:t>, 143 Misc 2d 983</w:t>
      </w:r>
      <w:bookmarkEnd w:id="0"/>
      <w:r w:rsidR="00E17B7E" w:rsidRPr="009D7347">
        <w:t>, 985 [Civ Ct</w:t>
      </w:r>
      <w:r w:rsidR="00193D3E" w:rsidRPr="009D7347">
        <w:t>, NY Co</w:t>
      </w:r>
      <w:r w:rsidR="00ED05E0" w:rsidRPr="009D7347">
        <w:t>unty</w:t>
      </w:r>
      <w:r w:rsidR="00E17B7E" w:rsidRPr="009D7347">
        <w:t xml:space="preserve"> 1989] [“The public policy rationale behind CPLR 4544 was to protect residential tenants and consumers who are at risk when entering into contracts drawn up by others and presented to them on a take-or-leave basis. Since they cannot truly negotiate these contracts as an equal, they should at least be able to read them!”]</w:t>
      </w:r>
      <w:r w:rsidR="004157BF" w:rsidRPr="009D7347">
        <w:t>)</w:t>
      </w:r>
      <w:r w:rsidR="00A41921" w:rsidRPr="009D7347">
        <w:t>.</w:t>
      </w:r>
    </w:p>
    <w:p w14:paraId="05F30E52" w14:textId="09E8AC7D" w:rsidR="00B13901" w:rsidRPr="009D7347" w:rsidRDefault="00B13901" w:rsidP="009D7347">
      <w:pPr>
        <w:spacing w:before="0"/>
        <w:jc w:val="both"/>
      </w:pPr>
    </w:p>
    <w:p w14:paraId="4B0B6544" w14:textId="7F773BEF" w:rsidR="0090142C" w:rsidRPr="009D7347" w:rsidRDefault="0090482A" w:rsidP="009D7347">
      <w:pPr>
        <w:spacing w:before="0"/>
        <w:jc w:val="both"/>
      </w:pPr>
      <w:r w:rsidRPr="009D7347">
        <w:tab/>
        <w:t xml:space="preserve">The definition of “consumer transaction” does not on its face or by implication include </w:t>
      </w:r>
      <w:r w:rsidR="003B129E" w:rsidRPr="009D7347">
        <w:t>a “contract for the construction and sale of a one-family dwelling.”</w:t>
      </w:r>
      <w:r w:rsidR="00CB25E0" w:rsidRPr="009D7347">
        <w:t xml:space="preserve"> </w:t>
      </w:r>
      <w:r w:rsidR="000D371A" w:rsidRPr="009D7347">
        <w:t>(</w:t>
      </w:r>
      <w:proofErr w:type="spellStart"/>
      <w:r w:rsidR="001D4EA3" w:rsidRPr="009D7347">
        <w:rPr>
          <w:i/>
          <w:iCs/>
        </w:rPr>
        <w:t>Drelich</w:t>
      </w:r>
      <w:proofErr w:type="spellEnd"/>
      <w:r w:rsidR="001D4EA3" w:rsidRPr="009D7347">
        <w:rPr>
          <w:i/>
          <w:iCs/>
        </w:rPr>
        <w:t xml:space="preserve"> v </w:t>
      </w:r>
      <w:proofErr w:type="spellStart"/>
      <w:r w:rsidR="001D4EA3" w:rsidRPr="009D7347">
        <w:rPr>
          <w:i/>
          <w:iCs/>
        </w:rPr>
        <w:t>Kenlyn</w:t>
      </w:r>
      <w:proofErr w:type="spellEnd"/>
      <w:r w:rsidR="001D4EA3" w:rsidRPr="009D7347">
        <w:rPr>
          <w:i/>
          <w:iCs/>
        </w:rPr>
        <w:t xml:space="preserve"> Homes</w:t>
      </w:r>
      <w:r w:rsidR="001D4EA3" w:rsidRPr="009D7347">
        <w:t>, 86 AD2d 648, 649-</w:t>
      </w:r>
      <w:r w:rsidR="00EA18C9" w:rsidRPr="009D7347">
        <w:t>6</w:t>
      </w:r>
      <w:r w:rsidR="001D4EA3" w:rsidRPr="009D7347">
        <w:t>50</w:t>
      </w:r>
      <w:r w:rsidR="00A962F8" w:rsidRPr="009D7347">
        <w:t xml:space="preserve"> </w:t>
      </w:r>
      <w:r w:rsidR="001D4EA3" w:rsidRPr="009D7347">
        <w:t>[2d Dept 1982]</w:t>
      </w:r>
      <w:r w:rsidR="00BA11DA" w:rsidRPr="009D7347">
        <w:t xml:space="preserve"> [“</w:t>
      </w:r>
      <w:r w:rsidR="001D4EA3" w:rsidRPr="009D7347">
        <w:t>The statute reflects the legislative intent to regulate transactions for such property and services which are primarily personal in nature in order to protect the unwary consumer from the sharp practices of various dubious business enterprises which deal in such services and goods which are attractive to consumers</w:t>
      </w:r>
      <w:r w:rsidR="00FA78F4" w:rsidRPr="009D7347">
        <w:t xml:space="preserve"> . . .</w:t>
      </w:r>
      <w:r w:rsidR="0008464A" w:rsidRPr="009D7347">
        <w:t xml:space="preserve"> </w:t>
      </w:r>
      <w:r w:rsidR="00EA18C9" w:rsidRPr="009D7347">
        <w:t>(</w:t>
      </w:r>
      <w:r w:rsidR="0008464A" w:rsidRPr="009D7347">
        <w:t>and</w:t>
      </w:r>
      <w:r w:rsidR="00EA18C9" w:rsidRPr="009D7347">
        <w:t>)</w:t>
      </w:r>
      <w:r w:rsidR="00607D34" w:rsidRPr="009D7347">
        <w:t xml:space="preserve"> </w:t>
      </w:r>
      <w:r w:rsidR="001D4EA3" w:rsidRPr="009D7347">
        <w:t>the statute is also made applicable to leases for residential property, which, as chattels real, constitute personal property</w:t>
      </w:r>
      <w:r w:rsidR="00BA11DA" w:rsidRPr="009D7347">
        <w:t>”</w:t>
      </w:r>
      <w:r w:rsidR="0008464A" w:rsidRPr="009D7347">
        <w:t>].</w:t>
      </w:r>
      <w:r w:rsidR="00EA18C9" w:rsidRPr="009D7347">
        <w:t>)</w:t>
      </w:r>
    </w:p>
    <w:p w14:paraId="0CBF2959" w14:textId="77777777" w:rsidR="0090142C" w:rsidRPr="009D7347" w:rsidRDefault="0090142C" w:rsidP="009D7347">
      <w:pPr>
        <w:spacing w:before="0"/>
        <w:jc w:val="both"/>
      </w:pPr>
    </w:p>
    <w:p w14:paraId="3047051E" w14:textId="59B4F563" w:rsidR="00466A09" w:rsidRPr="009D7347" w:rsidRDefault="00CA5C6A" w:rsidP="009D7347">
      <w:pPr>
        <w:spacing w:before="0"/>
        <w:jc w:val="both"/>
        <w:rPr>
          <w:rFonts w:eastAsia="Times New Roman"/>
        </w:rPr>
      </w:pPr>
      <w:r w:rsidRPr="009D7347">
        <w:tab/>
        <w:t xml:space="preserve">In a “conflict of laws” case, </w:t>
      </w:r>
      <w:r w:rsidR="001949D2" w:rsidRPr="009D7347">
        <w:t>the statute</w:t>
      </w:r>
      <w:r w:rsidR="00A962F8" w:rsidRPr="009D7347">
        <w:t>,</w:t>
      </w:r>
      <w:r w:rsidR="001949D2" w:rsidRPr="009D7347">
        <w:t xml:space="preserve"> although phrased in terms of a rule of evidence,</w:t>
      </w:r>
      <w:r w:rsidR="008E1B36" w:rsidRPr="009D7347">
        <w:t xml:space="preserve"> “should be regarded as a substantive, formal, contractual requirement rather than a procedural rule of the forum” and where </w:t>
      </w:r>
      <w:r w:rsidR="00DB0221" w:rsidRPr="009D7347">
        <w:t xml:space="preserve">a </w:t>
      </w:r>
      <w:r w:rsidR="00A4475E" w:rsidRPr="009D7347">
        <w:t xml:space="preserve">“choice-of-law provision” provides for the application of </w:t>
      </w:r>
      <w:r w:rsidR="00EA70F3" w:rsidRPr="009D7347">
        <w:t xml:space="preserve">the </w:t>
      </w:r>
      <w:r w:rsidR="00A4475E" w:rsidRPr="009D7347">
        <w:t>law of another state</w:t>
      </w:r>
      <w:r w:rsidR="008A08CB" w:rsidRPr="009D7347">
        <w:t>,</w:t>
      </w:r>
      <w:r w:rsidR="00A4475E" w:rsidRPr="009D7347">
        <w:t xml:space="preserve"> </w:t>
      </w:r>
      <w:r w:rsidR="008A08CB" w:rsidRPr="009D7347">
        <w:t>“</w:t>
      </w:r>
      <w:r w:rsidR="00A4475E" w:rsidRPr="009D7347">
        <w:t>the substantive laws of that state must be applied and the substantive laws of New York, including for these purposes CPLR 4544, have no application.</w:t>
      </w:r>
      <w:r w:rsidR="008A08CB" w:rsidRPr="009D7347">
        <w:t>”</w:t>
      </w:r>
      <w:r w:rsidR="00A4475E" w:rsidRPr="009D7347">
        <w:t xml:space="preserve"> </w:t>
      </w:r>
      <w:r w:rsidR="005D5FCB" w:rsidRPr="009D7347">
        <w:t>(</w:t>
      </w:r>
      <w:r w:rsidR="00B9123E" w:rsidRPr="009D7347">
        <w:rPr>
          <w:i/>
          <w:iCs/>
        </w:rPr>
        <w:t>Matter of Frankel v Citicorp Ins. Servs</w:t>
      </w:r>
      <w:r w:rsidR="00BD1145" w:rsidRPr="009D7347">
        <w:rPr>
          <w:i/>
          <w:iCs/>
        </w:rPr>
        <w:t>.</w:t>
      </w:r>
      <w:r w:rsidR="00B9123E" w:rsidRPr="009D7347">
        <w:rPr>
          <w:i/>
          <w:iCs/>
        </w:rPr>
        <w:t>, Inc.</w:t>
      </w:r>
      <w:r w:rsidR="00B9123E" w:rsidRPr="009D7347">
        <w:t>, 80 AD3d 280, 287 [2d Dept 2010]</w:t>
      </w:r>
      <w:r w:rsidR="00EA18C9" w:rsidRPr="009D7347">
        <w:t>.</w:t>
      </w:r>
      <w:r w:rsidR="005D5FCB" w:rsidRPr="009D7347">
        <w:t>)</w:t>
      </w:r>
      <w:r w:rsidR="00322278" w:rsidRPr="009D7347">
        <w:t xml:space="preserve"> </w:t>
      </w:r>
      <w:r w:rsidR="00466A09" w:rsidRPr="009D7347">
        <w:t>Nor</w:t>
      </w:r>
      <w:r w:rsidR="004B6EC5" w:rsidRPr="009D7347">
        <w:t xml:space="preserve"> may CPLR 45</w:t>
      </w:r>
      <w:r w:rsidR="00F0058E" w:rsidRPr="009D7347">
        <w:t>44</w:t>
      </w:r>
      <w:r w:rsidR="005D5FCB" w:rsidRPr="009D7347">
        <w:t xml:space="preserve"> “</w:t>
      </w:r>
      <w:r w:rsidR="005D5FCB" w:rsidRPr="009D7347">
        <w:rPr>
          <w:rFonts w:eastAsia="Times New Roman"/>
        </w:rPr>
        <w:t>be employed to nullify a contractual limitation enforceable under Federal maritime law.” (</w:t>
      </w:r>
      <w:r w:rsidR="00466A09" w:rsidRPr="009D7347">
        <w:rPr>
          <w:rFonts w:eastAsia="Times New Roman"/>
          <w:i/>
          <w:iCs/>
        </w:rPr>
        <w:t xml:space="preserve">Lerner v </w:t>
      </w:r>
      <w:proofErr w:type="spellStart"/>
      <w:r w:rsidR="00466A09" w:rsidRPr="009D7347">
        <w:rPr>
          <w:rFonts w:eastAsia="Times New Roman"/>
          <w:i/>
          <w:iCs/>
        </w:rPr>
        <w:t>Karageorgis</w:t>
      </w:r>
      <w:proofErr w:type="spellEnd"/>
      <w:r w:rsidR="00466A09" w:rsidRPr="009D7347">
        <w:rPr>
          <w:rFonts w:eastAsia="Times New Roman"/>
          <w:i/>
          <w:iCs/>
        </w:rPr>
        <w:t xml:space="preserve"> Lines</w:t>
      </w:r>
      <w:r w:rsidR="00466A09" w:rsidRPr="009D7347">
        <w:rPr>
          <w:rFonts w:eastAsia="Times New Roman"/>
        </w:rPr>
        <w:t>, 66 NY2d 479, 485</w:t>
      </w:r>
      <w:r w:rsidR="005D5FCB" w:rsidRPr="009D7347">
        <w:rPr>
          <w:rFonts w:eastAsia="Times New Roman"/>
        </w:rPr>
        <w:t xml:space="preserve"> </w:t>
      </w:r>
      <w:r w:rsidR="00466A09" w:rsidRPr="009D7347">
        <w:rPr>
          <w:rFonts w:eastAsia="Times New Roman"/>
        </w:rPr>
        <w:t>[1985]</w:t>
      </w:r>
      <w:r w:rsidR="00EA18C9" w:rsidRPr="009D7347">
        <w:rPr>
          <w:rFonts w:eastAsia="Times New Roman"/>
        </w:rPr>
        <w:t>.</w:t>
      </w:r>
      <w:r w:rsidR="005D5FCB" w:rsidRPr="009D7347">
        <w:rPr>
          <w:rFonts w:eastAsia="Times New Roman"/>
        </w:rPr>
        <w:t>)</w:t>
      </w:r>
    </w:p>
    <w:p w14:paraId="2F9C0BC4" w14:textId="1E8751A3" w:rsidR="00466A09" w:rsidRPr="009D7347" w:rsidRDefault="00466A09" w:rsidP="009D7347">
      <w:pPr>
        <w:shd w:val="clear" w:color="auto" w:fill="FFFFFF"/>
        <w:spacing w:before="0"/>
        <w:rPr>
          <w:rFonts w:eastAsia="Times New Roman"/>
        </w:rPr>
      </w:pPr>
    </w:p>
    <w:p w14:paraId="5F7EB68A" w14:textId="2575245B" w:rsidR="002D679D" w:rsidRPr="009D7347" w:rsidRDefault="009D7347" w:rsidP="009D7347">
      <w:pPr>
        <w:tabs>
          <w:tab w:val="left" w:pos="720"/>
        </w:tabs>
        <w:spacing w:before="0"/>
        <w:jc w:val="both"/>
      </w:pPr>
      <w:r>
        <w:tab/>
      </w:r>
      <w:r w:rsidR="002D679D" w:rsidRPr="009D7347">
        <w:t>The statute’s last sentence precludes retroactive effect</w:t>
      </w:r>
      <w:r w:rsidR="007B54B7" w:rsidRPr="009D7347">
        <w:t xml:space="preserve"> </w:t>
      </w:r>
      <w:r w:rsidR="00322278" w:rsidRPr="009D7347">
        <w:t xml:space="preserve">before </w:t>
      </w:r>
      <w:r w:rsidR="007B54B7" w:rsidRPr="009D7347">
        <w:t xml:space="preserve">the effective date of July </w:t>
      </w:r>
      <w:r w:rsidR="0079187E" w:rsidRPr="009D7347">
        <w:t>1</w:t>
      </w:r>
      <w:r w:rsidR="007B54B7" w:rsidRPr="009D7347">
        <w:t>, 19</w:t>
      </w:r>
      <w:r w:rsidR="0079187E" w:rsidRPr="009D7347">
        <w:t>76</w:t>
      </w:r>
      <w:r w:rsidR="007B54B7" w:rsidRPr="009D7347">
        <w:t xml:space="preserve">. </w:t>
      </w:r>
      <w:r w:rsidR="00EC62EF" w:rsidRPr="009D7347">
        <w:t xml:space="preserve">That </w:t>
      </w:r>
      <w:r w:rsidR="003833CE" w:rsidRPr="009D7347">
        <w:t>provision</w:t>
      </w:r>
      <w:r w:rsidR="0038552F" w:rsidRPr="009D7347">
        <w:t xml:space="preserve"> is undoubtedly </w:t>
      </w:r>
      <w:r w:rsidR="001869C3" w:rsidRPr="009D7347">
        <w:t>based</w:t>
      </w:r>
      <w:r w:rsidR="0038552F" w:rsidRPr="009D7347">
        <w:t xml:space="preserve"> on </w:t>
      </w:r>
      <w:r w:rsidR="00475AEF" w:rsidRPr="009D7347">
        <w:t>the principle</w:t>
      </w:r>
      <w:r w:rsidR="00475AEF" w:rsidRPr="009D7347">
        <w:rPr>
          <w:b/>
          <w:bCs/>
        </w:rPr>
        <w:t xml:space="preserve"> </w:t>
      </w:r>
      <w:r w:rsidR="00475AEF" w:rsidRPr="009D7347">
        <w:t>t</w:t>
      </w:r>
      <w:r w:rsidR="002D679D" w:rsidRPr="009D7347">
        <w:t xml:space="preserve">hat the drafters of a requisite contract or agreement should not be held to its remedial requirements that they were unaware of at the time of the drafting. There is a difference of opinion, however, over whether an agreement </w:t>
      </w:r>
      <w:proofErr w:type="gramStart"/>
      <w:r w:rsidR="002D679D" w:rsidRPr="009D7347">
        <w:t>entered into</w:t>
      </w:r>
      <w:proofErr w:type="gramEnd"/>
      <w:r w:rsidR="002D679D" w:rsidRPr="009D7347">
        <w:t xml:space="preserve"> after the effective date of the statute, incorporating by reference </w:t>
      </w:r>
      <w:r w:rsidR="00FD7FC0" w:rsidRPr="009D7347">
        <w:t>provisions</w:t>
      </w:r>
      <w:r w:rsidR="002D679D" w:rsidRPr="009D7347">
        <w:t xml:space="preserve"> of an agreement entered into prior to the effective date of the statute that did not meet the statute’s legibility requirements, is subject to the </w:t>
      </w:r>
      <w:r w:rsidR="003423D4" w:rsidRPr="009D7347">
        <w:t xml:space="preserve">statute’s </w:t>
      </w:r>
      <w:r w:rsidR="002D679D" w:rsidRPr="009D7347">
        <w:t>remedial dictates</w:t>
      </w:r>
      <w:r w:rsidR="00EA15A0" w:rsidRPr="009D7347">
        <w:t>.</w:t>
      </w:r>
      <w:r w:rsidR="002D679D" w:rsidRPr="009D7347">
        <w:t xml:space="preserve"> </w:t>
      </w:r>
      <w:r w:rsidR="002D679D" w:rsidRPr="009D7347">
        <w:rPr>
          <w:i/>
          <w:iCs/>
        </w:rPr>
        <w:t>Street v Davis</w:t>
      </w:r>
      <w:r w:rsidR="002D679D" w:rsidRPr="009D7347">
        <w:t xml:space="preserve"> </w:t>
      </w:r>
      <w:r w:rsidR="0079187E" w:rsidRPr="009D7347">
        <w:t>(</w:t>
      </w:r>
      <w:r w:rsidR="002D679D" w:rsidRPr="009D7347">
        <w:t>143 Misc 2d at 986-</w:t>
      </w:r>
      <w:r w:rsidR="0079187E" w:rsidRPr="009D7347">
        <w:t>9</w:t>
      </w:r>
      <w:r w:rsidR="002D679D" w:rsidRPr="009D7347">
        <w:t>87</w:t>
      </w:r>
      <w:r w:rsidR="0079187E" w:rsidRPr="009D7347">
        <w:t>)</w:t>
      </w:r>
      <w:r w:rsidR="002D679D" w:rsidRPr="009D7347">
        <w:t xml:space="preserve"> </w:t>
      </w:r>
      <w:r w:rsidR="00B326A2" w:rsidRPr="009D7347">
        <w:t>found</w:t>
      </w:r>
      <w:r w:rsidR="00C26BEE" w:rsidRPr="009D7347">
        <w:t xml:space="preserve"> that an</w:t>
      </w:r>
      <w:r w:rsidR="002D679D" w:rsidRPr="009D7347">
        <w:t xml:space="preserve"> agreement </w:t>
      </w:r>
      <w:r w:rsidR="00DD0E96" w:rsidRPr="009D7347">
        <w:t xml:space="preserve">made </w:t>
      </w:r>
      <w:r w:rsidR="002D679D" w:rsidRPr="009D7347">
        <w:t>after the effective date of this statute was subject to</w:t>
      </w:r>
      <w:r w:rsidR="00DD0E96" w:rsidRPr="009D7347">
        <w:t xml:space="preserve"> its</w:t>
      </w:r>
      <w:r w:rsidR="002D679D" w:rsidRPr="009D7347">
        <w:t xml:space="preserve"> remedial terms, given that there was an opportunity to remedy the illegible portions of the incorporated agreement. </w:t>
      </w:r>
      <w:r w:rsidR="00F47633" w:rsidRPr="009D7347">
        <w:t>(</w:t>
      </w:r>
      <w:r w:rsidR="002D679D" w:rsidRPr="009D7347">
        <w:rPr>
          <w:i/>
          <w:iCs/>
        </w:rPr>
        <w:t>Contra</w:t>
      </w:r>
      <w:r w:rsidR="002D679D" w:rsidRPr="009D7347">
        <w:rPr>
          <w:rFonts w:eastAsia="Times New Roman"/>
          <w:i/>
          <w:iCs/>
        </w:rPr>
        <w:t xml:space="preserve"> </w:t>
      </w:r>
      <w:proofErr w:type="spellStart"/>
      <w:r w:rsidR="002D679D" w:rsidRPr="009D7347">
        <w:rPr>
          <w:rFonts w:eastAsia="Times New Roman"/>
          <w:i/>
          <w:iCs/>
        </w:rPr>
        <w:t>Jossel</w:t>
      </w:r>
      <w:proofErr w:type="spellEnd"/>
      <w:r w:rsidR="002D679D" w:rsidRPr="009D7347">
        <w:rPr>
          <w:rFonts w:eastAsia="Times New Roman"/>
          <w:i/>
          <w:iCs/>
        </w:rPr>
        <w:t xml:space="preserve"> v </w:t>
      </w:r>
      <w:proofErr w:type="spellStart"/>
      <w:r w:rsidR="002D679D" w:rsidRPr="009D7347">
        <w:rPr>
          <w:rFonts w:eastAsia="Times New Roman"/>
          <w:i/>
          <w:iCs/>
        </w:rPr>
        <w:t>Filicori</w:t>
      </w:r>
      <w:proofErr w:type="spellEnd"/>
      <w:r w:rsidR="002D679D" w:rsidRPr="009D7347">
        <w:rPr>
          <w:rFonts w:eastAsia="Times New Roman"/>
        </w:rPr>
        <w:t>, 145 Misc 2d 779</w:t>
      </w:r>
      <w:r w:rsidR="002836EF" w:rsidRPr="009D7347">
        <w:rPr>
          <w:rFonts w:eastAsia="Times New Roman"/>
        </w:rPr>
        <w:t>, 782</w:t>
      </w:r>
      <w:r w:rsidR="002D679D" w:rsidRPr="009D7347">
        <w:rPr>
          <w:rFonts w:eastAsia="Times New Roman"/>
        </w:rPr>
        <w:t xml:space="preserve"> [Sup Ct</w:t>
      </w:r>
      <w:r w:rsidR="003602EF" w:rsidRPr="009D7347">
        <w:rPr>
          <w:rFonts w:eastAsia="Times New Roman"/>
        </w:rPr>
        <w:t>,</w:t>
      </w:r>
      <w:r w:rsidR="002D679D" w:rsidRPr="009D7347">
        <w:rPr>
          <w:rFonts w:eastAsia="Times New Roman"/>
        </w:rPr>
        <w:t xml:space="preserve"> NY Co</w:t>
      </w:r>
      <w:r w:rsidR="0079187E" w:rsidRPr="009D7347">
        <w:rPr>
          <w:rFonts w:eastAsia="Times New Roman"/>
        </w:rPr>
        <w:t>unty</w:t>
      </w:r>
      <w:r w:rsidR="002D679D" w:rsidRPr="009D7347">
        <w:rPr>
          <w:rFonts w:eastAsia="Times New Roman"/>
        </w:rPr>
        <w:t xml:space="preserve"> 1989]; </w:t>
      </w:r>
      <w:r w:rsidR="002D679D" w:rsidRPr="009D7347">
        <w:rPr>
          <w:i/>
          <w:iCs/>
        </w:rPr>
        <w:t>King Enters</w:t>
      </w:r>
      <w:r w:rsidR="0079187E" w:rsidRPr="009D7347">
        <w:rPr>
          <w:i/>
          <w:iCs/>
        </w:rPr>
        <w:t>.</w:t>
      </w:r>
      <w:r w:rsidR="002D679D" w:rsidRPr="009D7347">
        <w:rPr>
          <w:i/>
          <w:iCs/>
        </w:rPr>
        <w:t xml:space="preserve"> v O'Connell</w:t>
      </w:r>
      <w:r w:rsidR="002D679D" w:rsidRPr="009D7347">
        <w:t>, 172 Misc</w:t>
      </w:r>
      <w:r w:rsidR="0079187E" w:rsidRPr="009D7347">
        <w:t xml:space="preserve"> </w:t>
      </w:r>
      <w:r w:rsidR="002D679D" w:rsidRPr="009D7347">
        <w:t>2d 925, 927 [Civ Ct</w:t>
      </w:r>
      <w:r w:rsidR="003602EF" w:rsidRPr="009D7347">
        <w:t>,</w:t>
      </w:r>
      <w:r w:rsidR="002D679D" w:rsidRPr="009D7347">
        <w:t xml:space="preserve"> NY Co</w:t>
      </w:r>
      <w:r w:rsidR="0079187E" w:rsidRPr="009D7347">
        <w:t>unty</w:t>
      </w:r>
      <w:r w:rsidR="002D679D" w:rsidRPr="009D7347">
        <w:t xml:space="preserve"> 1997]</w:t>
      </w:r>
      <w:r w:rsidR="0079187E" w:rsidRPr="009D7347">
        <w:t>;</w:t>
      </w:r>
      <w:r w:rsidR="002D679D" w:rsidRPr="009D7347">
        <w:t xml:space="preserve"> </w:t>
      </w:r>
      <w:r w:rsidR="0079187E" w:rsidRPr="009D7347">
        <w:rPr>
          <w:i/>
          <w:iCs/>
        </w:rPr>
        <w:t>s</w:t>
      </w:r>
      <w:r w:rsidR="002D679D" w:rsidRPr="009D7347">
        <w:rPr>
          <w:i/>
          <w:iCs/>
        </w:rPr>
        <w:t>ee</w:t>
      </w:r>
      <w:r w:rsidR="002D679D" w:rsidRPr="009D7347">
        <w:t xml:space="preserve"> Vincent C. Alexander,</w:t>
      </w:r>
      <w:r w:rsidR="002D679D" w:rsidRPr="009D7347">
        <w:rPr>
          <w:lang w:val="x-none"/>
        </w:rPr>
        <w:t xml:space="preserve"> Practice Commentaries, McKinney’s Cons Laws of NY, Book 7B, CPLR </w:t>
      </w:r>
      <w:r w:rsidR="002D679D" w:rsidRPr="009D7347">
        <w:t>454</w:t>
      </w:r>
      <w:r w:rsidR="009E6A6B" w:rsidRPr="009D7347">
        <w:t>4</w:t>
      </w:r>
      <w:r w:rsidR="002D679D" w:rsidRPr="009D7347">
        <w:t xml:space="preserve"> </w:t>
      </w:r>
      <w:r w:rsidR="009E6A6B" w:rsidRPr="009D7347">
        <w:t>at 7</w:t>
      </w:r>
      <w:r w:rsidR="004373C0" w:rsidRPr="009D7347">
        <w:t>9</w:t>
      </w:r>
      <w:r w:rsidR="009E6A6B" w:rsidRPr="009D7347">
        <w:t xml:space="preserve">7 [2007 ed] </w:t>
      </w:r>
      <w:r w:rsidR="002D679D" w:rsidRPr="009D7347">
        <w:t>[</w:t>
      </w:r>
      <w:r w:rsidR="002D679D" w:rsidRPr="009D7347">
        <w:rPr>
          <w:i/>
          <w:iCs/>
        </w:rPr>
        <w:t>Street v Davis</w:t>
      </w:r>
      <w:r w:rsidR="002D679D" w:rsidRPr="009D7347">
        <w:t xml:space="preserve"> “hits closer to home because upon renewal, a new contract has been ‘entered into</w:t>
      </w:r>
      <w:proofErr w:type="gramStart"/>
      <w:r w:rsidR="002D679D" w:rsidRPr="009D7347">
        <w:t>’</w:t>
      </w:r>
      <w:r w:rsidR="009E6A6B" w:rsidRPr="009D7347">
        <w:t xml:space="preserve"> </w:t>
      </w:r>
      <w:r w:rsidR="002D679D" w:rsidRPr="009D7347">
        <w:t>”</w:t>
      </w:r>
      <w:proofErr w:type="gramEnd"/>
      <w:r w:rsidR="002D679D" w:rsidRPr="009D7347">
        <w:t>]</w:t>
      </w:r>
      <w:r w:rsidR="00F47633" w:rsidRPr="009D7347">
        <w:t>.)</w:t>
      </w:r>
    </w:p>
    <w:p w14:paraId="4E206DC7" w14:textId="77777777" w:rsidR="00AD48FC" w:rsidRPr="009D7347" w:rsidRDefault="00AD48FC" w:rsidP="009D7347">
      <w:pPr>
        <w:spacing w:before="0"/>
      </w:pPr>
    </w:p>
    <w:sectPr w:rsidR="00AD48FC" w:rsidRPr="009D7347" w:rsidSect="009D7347">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BBB8" w14:textId="77777777" w:rsidR="00BB1045" w:rsidRDefault="00BB1045" w:rsidP="00F44E43">
      <w:pPr>
        <w:spacing w:before="0"/>
      </w:pPr>
      <w:r>
        <w:separator/>
      </w:r>
    </w:p>
  </w:endnote>
  <w:endnote w:type="continuationSeparator" w:id="0">
    <w:p w14:paraId="1EC2B07E" w14:textId="77777777" w:rsidR="00BB1045" w:rsidRDefault="00BB1045" w:rsidP="00F44E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34242"/>
      <w:docPartObj>
        <w:docPartGallery w:val="Page Numbers (Bottom of Page)"/>
        <w:docPartUnique/>
      </w:docPartObj>
    </w:sdtPr>
    <w:sdtEndPr>
      <w:rPr>
        <w:noProof/>
      </w:rPr>
    </w:sdtEndPr>
    <w:sdtContent>
      <w:p w14:paraId="666DEC4C" w14:textId="3658E1DC" w:rsidR="009D7347" w:rsidRDefault="009D7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0884" w14:textId="77777777" w:rsidR="00BB1045" w:rsidRDefault="00BB1045" w:rsidP="00F44E43">
      <w:pPr>
        <w:spacing w:before="0"/>
      </w:pPr>
      <w:r>
        <w:separator/>
      </w:r>
    </w:p>
  </w:footnote>
  <w:footnote w:type="continuationSeparator" w:id="0">
    <w:p w14:paraId="57C5DF3D" w14:textId="77777777" w:rsidR="00BB1045" w:rsidRDefault="00BB1045" w:rsidP="00F44E4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CC5"/>
    <w:rsid w:val="00003394"/>
    <w:rsid w:val="00023091"/>
    <w:rsid w:val="0006791A"/>
    <w:rsid w:val="000728A8"/>
    <w:rsid w:val="00075CC3"/>
    <w:rsid w:val="0008464A"/>
    <w:rsid w:val="000963EB"/>
    <w:rsid w:val="00097359"/>
    <w:rsid w:val="000C5835"/>
    <w:rsid w:val="000D371A"/>
    <w:rsid w:val="000E22F4"/>
    <w:rsid w:val="000F6F48"/>
    <w:rsid w:val="00100A0B"/>
    <w:rsid w:val="001106AB"/>
    <w:rsid w:val="00124930"/>
    <w:rsid w:val="00155A8D"/>
    <w:rsid w:val="00161CEE"/>
    <w:rsid w:val="001869C3"/>
    <w:rsid w:val="001935AD"/>
    <w:rsid w:val="00193D3E"/>
    <w:rsid w:val="001949D2"/>
    <w:rsid w:val="001967F8"/>
    <w:rsid w:val="001C1798"/>
    <w:rsid w:val="001D19E5"/>
    <w:rsid w:val="001D4EA3"/>
    <w:rsid w:val="001E1D2F"/>
    <w:rsid w:val="001F2786"/>
    <w:rsid w:val="00240D1F"/>
    <w:rsid w:val="00254815"/>
    <w:rsid w:val="00271926"/>
    <w:rsid w:val="002836EF"/>
    <w:rsid w:val="002A7B44"/>
    <w:rsid w:val="002D679D"/>
    <w:rsid w:val="00314A6A"/>
    <w:rsid w:val="00322278"/>
    <w:rsid w:val="003423D4"/>
    <w:rsid w:val="003602EF"/>
    <w:rsid w:val="00374258"/>
    <w:rsid w:val="00380896"/>
    <w:rsid w:val="003833CE"/>
    <w:rsid w:val="0038552F"/>
    <w:rsid w:val="003B129E"/>
    <w:rsid w:val="003B1DDD"/>
    <w:rsid w:val="003D0613"/>
    <w:rsid w:val="003E4225"/>
    <w:rsid w:val="003F0630"/>
    <w:rsid w:val="00402C5A"/>
    <w:rsid w:val="004048CB"/>
    <w:rsid w:val="004157BF"/>
    <w:rsid w:val="004373C0"/>
    <w:rsid w:val="0046281F"/>
    <w:rsid w:val="0046325C"/>
    <w:rsid w:val="00466A09"/>
    <w:rsid w:val="00475AEF"/>
    <w:rsid w:val="004814E4"/>
    <w:rsid w:val="00496D4D"/>
    <w:rsid w:val="004978EB"/>
    <w:rsid w:val="004A79E4"/>
    <w:rsid w:val="004B220C"/>
    <w:rsid w:val="004B6EC5"/>
    <w:rsid w:val="004E791C"/>
    <w:rsid w:val="00550E47"/>
    <w:rsid w:val="00560CE1"/>
    <w:rsid w:val="005636CC"/>
    <w:rsid w:val="00565F1F"/>
    <w:rsid w:val="005D15D5"/>
    <w:rsid w:val="005D5FCB"/>
    <w:rsid w:val="00607D34"/>
    <w:rsid w:val="00646C00"/>
    <w:rsid w:val="00661652"/>
    <w:rsid w:val="0067500F"/>
    <w:rsid w:val="00677974"/>
    <w:rsid w:val="006C54AB"/>
    <w:rsid w:val="006D3D1C"/>
    <w:rsid w:val="006D71FC"/>
    <w:rsid w:val="006F4E1C"/>
    <w:rsid w:val="006F6B73"/>
    <w:rsid w:val="007015BA"/>
    <w:rsid w:val="00721F98"/>
    <w:rsid w:val="00735F5D"/>
    <w:rsid w:val="00740A3A"/>
    <w:rsid w:val="007413EF"/>
    <w:rsid w:val="007545FB"/>
    <w:rsid w:val="00787E80"/>
    <w:rsid w:val="0079187E"/>
    <w:rsid w:val="007918D3"/>
    <w:rsid w:val="007A6E4D"/>
    <w:rsid w:val="007B54B7"/>
    <w:rsid w:val="008004B6"/>
    <w:rsid w:val="00816DB1"/>
    <w:rsid w:val="00840432"/>
    <w:rsid w:val="008A08CB"/>
    <w:rsid w:val="008B6587"/>
    <w:rsid w:val="008D00D1"/>
    <w:rsid w:val="008E1722"/>
    <w:rsid w:val="008E1B36"/>
    <w:rsid w:val="008F4156"/>
    <w:rsid w:val="0090142C"/>
    <w:rsid w:val="0090482A"/>
    <w:rsid w:val="00936514"/>
    <w:rsid w:val="00965A87"/>
    <w:rsid w:val="009D7347"/>
    <w:rsid w:val="009E6219"/>
    <w:rsid w:val="009E6A6B"/>
    <w:rsid w:val="009F54D8"/>
    <w:rsid w:val="00A41921"/>
    <w:rsid w:val="00A41C15"/>
    <w:rsid w:val="00A4475E"/>
    <w:rsid w:val="00A70D2A"/>
    <w:rsid w:val="00A75C5D"/>
    <w:rsid w:val="00A91FE8"/>
    <w:rsid w:val="00A94D60"/>
    <w:rsid w:val="00A962F8"/>
    <w:rsid w:val="00A976C9"/>
    <w:rsid w:val="00AD48FC"/>
    <w:rsid w:val="00AF6286"/>
    <w:rsid w:val="00B13901"/>
    <w:rsid w:val="00B17B23"/>
    <w:rsid w:val="00B326A2"/>
    <w:rsid w:val="00B55B3E"/>
    <w:rsid w:val="00B7785F"/>
    <w:rsid w:val="00B9123E"/>
    <w:rsid w:val="00BA11DA"/>
    <w:rsid w:val="00BB1045"/>
    <w:rsid w:val="00BB1276"/>
    <w:rsid w:val="00BB5CB1"/>
    <w:rsid w:val="00BD1145"/>
    <w:rsid w:val="00BE204F"/>
    <w:rsid w:val="00C03A54"/>
    <w:rsid w:val="00C06E00"/>
    <w:rsid w:val="00C26BEE"/>
    <w:rsid w:val="00C31A29"/>
    <w:rsid w:val="00C4111C"/>
    <w:rsid w:val="00C65818"/>
    <w:rsid w:val="00C65B03"/>
    <w:rsid w:val="00CA5C6A"/>
    <w:rsid w:val="00CB25E0"/>
    <w:rsid w:val="00CD18CF"/>
    <w:rsid w:val="00CD2E7C"/>
    <w:rsid w:val="00CF6C01"/>
    <w:rsid w:val="00D1266F"/>
    <w:rsid w:val="00D244FD"/>
    <w:rsid w:val="00D4119B"/>
    <w:rsid w:val="00D52484"/>
    <w:rsid w:val="00D63375"/>
    <w:rsid w:val="00D81CC5"/>
    <w:rsid w:val="00DB0221"/>
    <w:rsid w:val="00DD0E96"/>
    <w:rsid w:val="00DF1B50"/>
    <w:rsid w:val="00E03B3B"/>
    <w:rsid w:val="00E15739"/>
    <w:rsid w:val="00E17B7E"/>
    <w:rsid w:val="00E26DC7"/>
    <w:rsid w:val="00E65C97"/>
    <w:rsid w:val="00E80ABF"/>
    <w:rsid w:val="00E92169"/>
    <w:rsid w:val="00EA15A0"/>
    <w:rsid w:val="00EA18C9"/>
    <w:rsid w:val="00EA70F3"/>
    <w:rsid w:val="00EC4408"/>
    <w:rsid w:val="00EC62EF"/>
    <w:rsid w:val="00ED05E0"/>
    <w:rsid w:val="00EF1A41"/>
    <w:rsid w:val="00F0058E"/>
    <w:rsid w:val="00F251EC"/>
    <w:rsid w:val="00F31C88"/>
    <w:rsid w:val="00F40026"/>
    <w:rsid w:val="00F44E43"/>
    <w:rsid w:val="00F47633"/>
    <w:rsid w:val="00F80D04"/>
    <w:rsid w:val="00F957B4"/>
    <w:rsid w:val="00FA3509"/>
    <w:rsid w:val="00FA78F4"/>
    <w:rsid w:val="00FB5E10"/>
    <w:rsid w:val="00FC023A"/>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62CB"/>
  <w15:chartTrackingRefBased/>
  <w15:docId w15:val="{7F2BAA2B-1C29-4B40-BE6A-38BE1DDE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CommentReference">
    <w:name w:val="annotation reference"/>
    <w:basedOn w:val="DefaultParagraphFont"/>
    <w:uiPriority w:val="99"/>
    <w:semiHidden/>
    <w:unhideWhenUsed/>
    <w:rsid w:val="000F6F48"/>
    <w:rPr>
      <w:sz w:val="16"/>
      <w:szCs w:val="16"/>
    </w:rPr>
  </w:style>
  <w:style w:type="paragraph" w:styleId="CommentText">
    <w:name w:val="annotation text"/>
    <w:basedOn w:val="Normal"/>
    <w:link w:val="CommentTextChar"/>
    <w:uiPriority w:val="99"/>
    <w:semiHidden/>
    <w:unhideWhenUsed/>
    <w:rsid w:val="000F6F48"/>
    <w:rPr>
      <w:sz w:val="20"/>
      <w:szCs w:val="20"/>
    </w:rPr>
  </w:style>
  <w:style w:type="character" w:customStyle="1" w:styleId="CommentTextChar">
    <w:name w:val="Comment Text Char"/>
    <w:basedOn w:val="DefaultParagraphFont"/>
    <w:link w:val="CommentText"/>
    <w:uiPriority w:val="99"/>
    <w:semiHidden/>
    <w:rsid w:val="000F6F48"/>
    <w:rPr>
      <w:sz w:val="20"/>
      <w:szCs w:val="20"/>
    </w:rPr>
  </w:style>
  <w:style w:type="paragraph" w:styleId="CommentSubject">
    <w:name w:val="annotation subject"/>
    <w:basedOn w:val="CommentText"/>
    <w:next w:val="CommentText"/>
    <w:link w:val="CommentSubjectChar"/>
    <w:uiPriority w:val="99"/>
    <w:semiHidden/>
    <w:unhideWhenUsed/>
    <w:rsid w:val="000F6F48"/>
    <w:rPr>
      <w:b/>
      <w:bCs/>
    </w:rPr>
  </w:style>
  <w:style w:type="character" w:customStyle="1" w:styleId="CommentSubjectChar">
    <w:name w:val="Comment Subject Char"/>
    <w:basedOn w:val="CommentTextChar"/>
    <w:link w:val="CommentSubject"/>
    <w:uiPriority w:val="99"/>
    <w:semiHidden/>
    <w:rsid w:val="000F6F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291">
      <w:bodyDiv w:val="1"/>
      <w:marLeft w:val="0"/>
      <w:marRight w:val="0"/>
      <w:marTop w:val="0"/>
      <w:marBottom w:val="0"/>
      <w:divBdr>
        <w:top w:val="none" w:sz="0" w:space="0" w:color="auto"/>
        <w:left w:val="none" w:sz="0" w:space="0" w:color="auto"/>
        <w:bottom w:val="none" w:sz="0" w:space="0" w:color="auto"/>
        <w:right w:val="none" w:sz="0" w:space="0" w:color="auto"/>
      </w:divBdr>
      <w:divsChild>
        <w:div w:id="1326859172">
          <w:marLeft w:val="0"/>
          <w:marRight w:val="0"/>
          <w:marTop w:val="0"/>
          <w:marBottom w:val="0"/>
          <w:divBdr>
            <w:top w:val="none" w:sz="0" w:space="0" w:color="auto"/>
            <w:left w:val="none" w:sz="0" w:space="0" w:color="auto"/>
            <w:bottom w:val="none" w:sz="0" w:space="0" w:color="auto"/>
            <w:right w:val="none" w:sz="0" w:space="0" w:color="auto"/>
          </w:divBdr>
          <w:divsChild>
            <w:div w:id="2043167988">
              <w:marLeft w:val="0"/>
              <w:marRight w:val="0"/>
              <w:marTop w:val="0"/>
              <w:marBottom w:val="0"/>
              <w:divBdr>
                <w:top w:val="none" w:sz="0" w:space="0" w:color="auto"/>
                <w:left w:val="none" w:sz="0" w:space="0" w:color="auto"/>
                <w:bottom w:val="none" w:sz="0" w:space="0" w:color="auto"/>
                <w:right w:val="none" w:sz="0" w:space="0" w:color="auto"/>
              </w:divBdr>
              <w:divsChild>
                <w:div w:id="1686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2904">
      <w:bodyDiv w:val="1"/>
      <w:marLeft w:val="0"/>
      <w:marRight w:val="0"/>
      <w:marTop w:val="0"/>
      <w:marBottom w:val="0"/>
      <w:divBdr>
        <w:top w:val="none" w:sz="0" w:space="0" w:color="auto"/>
        <w:left w:val="none" w:sz="0" w:space="0" w:color="auto"/>
        <w:bottom w:val="none" w:sz="0" w:space="0" w:color="auto"/>
        <w:right w:val="none" w:sz="0" w:space="0" w:color="auto"/>
      </w:divBdr>
      <w:divsChild>
        <w:div w:id="91710074">
          <w:marLeft w:val="0"/>
          <w:marRight w:val="0"/>
          <w:marTop w:val="0"/>
          <w:marBottom w:val="0"/>
          <w:divBdr>
            <w:top w:val="none" w:sz="0" w:space="0" w:color="auto"/>
            <w:left w:val="none" w:sz="0" w:space="0" w:color="auto"/>
            <w:bottom w:val="none" w:sz="0" w:space="0" w:color="auto"/>
            <w:right w:val="none" w:sz="0" w:space="0" w:color="auto"/>
          </w:divBdr>
          <w:divsChild>
            <w:div w:id="1333684805">
              <w:marLeft w:val="0"/>
              <w:marRight w:val="0"/>
              <w:marTop w:val="0"/>
              <w:marBottom w:val="0"/>
              <w:divBdr>
                <w:top w:val="none" w:sz="0" w:space="0" w:color="auto"/>
                <w:left w:val="none" w:sz="0" w:space="0" w:color="auto"/>
                <w:bottom w:val="none" w:sz="0" w:space="0" w:color="auto"/>
                <w:right w:val="none" w:sz="0" w:space="0" w:color="auto"/>
              </w:divBdr>
              <w:divsChild>
                <w:div w:id="18523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5140">
      <w:bodyDiv w:val="1"/>
      <w:marLeft w:val="0"/>
      <w:marRight w:val="0"/>
      <w:marTop w:val="0"/>
      <w:marBottom w:val="0"/>
      <w:divBdr>
        <w:top w:val="none" w:sz="0" w:space="0" w:color="auto"/>
        <w:left w:val="none" w:sz="0" w:space="0" w:color="auto"/>
        <w:bottom w:val="none" w:sz="0" w:space="0" w:color="auto"/>
        <w:right w:val="none" w:sz="0" w:space="0" w:color="auto"/>
      </w:divBdr>
      <w:divsChild>
        <w:div w:id="502404061">
          <w:marLeft w:val="0"/>
          <w:marRight w:val="0"/>
          <w:marTop w:val="0"/>
          <w:marBottom w:val="0"/>
          <w:divBdr>
            <w:top w:val="none" w:sz="0" w:space="0" w:color="auto"/>
            <w:left w:val="none" w:sz="0" w:space="0" w:color="auto"/>
            <w:bottom w:val="none" w:sz="0" w:space="0" w:color="auto"/>
            <w:right w:val="none" w:sz="0" w:space="0" w:color="auto"/>
          </w:divBdr>
          <w:divsChild>
            <w:div w:id="850947340">
              <w:marLeft w:val="0"/>
              <w:marRight w:val="0"/>
              <w:marTop w:val="0"/>
              <w:marBottom w:val="0"/>
              <w:divBdr>
                <w:top w:val="none" w:sz="0" w:space="0" w:color="auto"/>
                <w:left w:val="none" w:sz="0" w:space="0" w:color="auto"/>
                <w:bottom w:val="none" w:sz="0" w:space="0" w:color="auto"/>
                <w:right w:val="none" w:sz="0" w:space="0" w:color="auto"/>
              </w:divBdr>
              <w:divsChild>
                <w:div w:id="17536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6788">
      <w:bodyDiv w:val="1"/>
      <w:marLeft w:val="0"/>
      <w:marRight w:val="0"/>
      <w:marTop w:val="0"/>
      <w:marBottom w:val="0"/>
      <w:divBdr>
        <w:top w:val="none" w:sz="0" w:space="0" w:color="auto"/>
        <w:left w:val="none" w:sz="0" w:space="0" w:color="auto"/>
        <w:bottom w:val="none" w:sz="0" w:space="0" w:color="auto"/>
        <w:right w:val="none" w:sz="0" w:space="0" w:color="auto"/>
      </w:divBdr>
      <w:divsChild>
        <w:div w:id="67508680">
          <w:marLeft w:val="0"/>
          <w:marRight w:val="0"/>
          <w:marTop w:val="0"/>
          <w:marBottom w:val="0"/>
          <w:divBdr>
            <w:top w:val="none" w:sz="0" w:space="0" w:color="auto"/>
            <w:left w:val="none" w:sz="0" w:space="0" w:color="auto"/>
            <w:bottom w:val="none" w:sz="0" w:space="0" w:color="auto"/>
            <w:right w:val="none" w:sz="0" w:space="0" w:color="auto"/>
          </w:divBdr>
          <w:divsChild>
            <w:div w:id="911696186">
              <w:marLeft w:val="0"/>
              <w:marRight w:val="0"/>
              <w:marTop w:val="0"/>
              <w:marBottom w:val="0"/>
              <w:divBdr>
                <w:top w:val="none" w:sz="0" w:space="0" w:color="auto"/>
                <w:left w:val="none" w:sz="0" w:space="0" w:color="auto"/>
                <w:bottom w:val="none" w:sz="0" w:space="0" w:color="auto"/>
                <w:right w:val="none" w:sz="0" w:space="0" w:color="auto"/>
              </w:divBdr>
              <w:divsChild>
                <w:div w:id="15785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6289">
      <w:bodyDiv w:val="1"/>
      <w:marLeft w:val="0"/>
      <w:marRight w:val="0"/>
      <w:marTop w:val="0"/>
      <w:marBottom w:val="0"/>
      <w:divBdr>
        <w:top w:val="none" w:sz="0" w:space="0" w:color="auto"/>
        <w:left w:val="none" w:sz="0" w:space="0" w:color="auto"/>
        <w:bottom w:val="none" w:sz="0" w:space="0" w:color="auto"/>
        <w:right w:val="none" w:sz="0" w:space="0" w:color="auto"/>
      </w:divBdr>
      <w:divsChild>
        <w:div w:id="345979425">
          <w:marLeft w:val="0"/>
          <w:marRight w:val="0"/>
          <w:marTop w:val="0"/>
          <w:marBottom w:val="0"/>
          <w:divBdr>
            <w:top w:val="none" w:sz="0" w:space="0" w:color="auto"/>
            <w:left w:val="none" w:sz="0" w:space="0" w:color="auto"/>
            <w:bottom w:val="none" w:sz="0" w:space="0" w:color="auto"/>
            <w:right w:val="none" w:sz="0" w:space="0" w:color="auto"/>
          </w:divBdr>
          <w:divsChild>
            <w:div w:id="1666008616">
              <w:marLeft w:val="0"/>
              <w:marRight w:val="0"/>
              <w:marTop w:val="0"/>
              <w:marBottom w:val="0"/>
              <w:divBdr>
                <w:top w:val="none" w:sz="0" w:space="0" w:color="auto"/>
                <w:left w:val="none" w:sz="0" w:space="0" w:color="auto"/>
                <w:bottom w:val="none" w:sz="0" w:space="0" w:color="auto"/>
                <w:right w:val="none" w:sz="0" w:space="0" w:color="auto"/>
              </w:divBdr>
              <w:divsChild>
                <w:div w:id="10011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5538">
      <w:bodyDiv w:val="1"/>
      <w:marLeft w:val="0"/>
      <w:marRight w:val="0"/>
      <w:marTop w:val="0"/>
      <w:marBottom w:val="0"/>
      <w:divBdr>
        <w:top w:val="none" w:sz="0" w:space="0" w:color="auto"/>
        <w:left w:val="none" w:sz="0" w:space="0" w:color="auto"/>
        <w:bottom w:val="none" w:sz="0" w:space="0" w:color="auto"/>
        <w:right w:val="none" w:sz="0" w:space="0" w:color="auto"/>
      </w:divBdr>
      <w:divsChild>
        <w:div w:id="234706622">
          <w:marLeft w:val="0"/>
          <w:marRight w:val="0"/>
          <w:marTop w:val="0"/>
          <w:marBottom w:val="0"/>
          <w:divBdr>
            <w:top w:val="none" w:sz="0" w:space="0" w:color="auto"/>
            <w:left w:val="none" w:sz="0" w:space="0" w:color="auto"/>
            <w:bottom w:val="none" w:sz="0" w:space="0" w:color="auto"/>
            <w:right w:val="none" w:sz="0" w:space="0" w:color="auto"/>
          </w:divBdr>
          <w:divsChild>
            <w:div w:id="602804412">
              <w:marLeft w:val="0"/>
              <w:marRight w:val="0"/>
              <w:marTop w:val="0"/>
              <w:marBottom w:val="0"/>
              <w:divBdr>
                <w:top w:val="none" w:sz="0" w:space="0" w:color="auto"/>
                <w:left w:val="none" w:sz="0" w:space="0" w:color="auto"/>
                <w:bottom w:val="none" w:sz="0" w:space="0" w:color="auto"/>
                <w:right w:val="none" w:sz="0" w:space="0" w:color="auto"/>
              </w:divBdr>
              <w:divsChild>
                <w:div w:id="268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1345">
      <w:bodyDiv w:val="1"/>
      <w:marLeft w:val="0"/>
      <w:marRight w:val="0"/>
      <w:marTop w:val="0"/>
      <w:marBottom w:val="0"/>
      <w:divBdr>
        <w:top w:val="none" w:sz="0" w:space="0" w:color="auto"/>
        <w:left w:val="none" w:sz="0" w:space="0" w:color="auto"/>
        <w:bottom w:val="none" w:sz="0" w:space="0" w:color="auto"/>
        <w:right w:val="none" w:sz="0" w:space="0" w:color="auto"/>
      </w:divBdr>
      <w:divsChild>
        <w:div w:id="1882083897">
          <w:marLeft w:val="0"/>
          <w:marRight w:val="0"/>
          <w:marTop w:val="0"/>
          <w:marBottom w:val="0"/>
          <w:divBdr>
            <w:top w:val="none" w:sz="0" w:space="0" w:color="auto"/>
            <w:left w:val="none" w:sz="0" w:space="0" w:color="auto"/>
            <w:bottom w:val="none" w:sz="0" w:space="0" w:color="auto"/>
            <w:right w:val="none" w:sz="0" w:space="0" w:color="auto"/>
          </w:divBdr>
          <w:divsChild>
            <w:div w:id="708603821">
              <w:marLeft w:val="0"/>
              <w:marRight w:val="0"/>
              <w:marTop w:val="0"/>
              <w:marBottom w:val="0"/>
              <w:divBdr>
                <w:top w:val="none" w:sz="0" w:space="0" w:color="auto"/>
                <w:left w:val="none" w:sz="0" w:space="0" w:color="auto"/>
                <w:bottom w:val="none" w:sz="0" w:space="0" w:color="auto"/>
                <w:right w:val="none" w:sz="0" w:space="0" w:color="auto"/>
              </w:divBdr>
              <w:divsChild>
                <w:div w:id="15275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7950-3F68-4152-9E81-F02F84D5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159</cp:revision>
  <cp:lastPrinted>2022-11-09T18:26:00Z</cp:lastPrinted>
  <dcterms:created xsi:type="dcterms:W3CDTF">2022-05-15T19:22:00Z</dcterms:created>
  <dcterms:modified xsi:type="dcterms:W3CDTF">2022-11-21T14:58:00Z</dcterms:modified>
</cp:coreProperties>
</file>