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B7E4" w14:textId="388C5F68" w:rsidR="00F0093B" w:rsidRPr="00D848BB" w:rsidRDefault="00D848BB" w:rsidP="007B422C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4.26.1 </w:t>
      </w:r>
      <w:r w:rsidR="00927F4D" w:rsidRPr="00D848BB">
        <w:rPr>
          <w:b/>
          <w:bCs/>
          <w:sz w:val="28"/>
          <w:szCs w:val="28"/>
        </w:rPr>
        <w:t xml:space="preserve">Defendant’s </w:t>
      </w:r>
      <w:r w:rsidR="00184D07" w:rsidRPr="00D848BB">
        <w:rPr>
          <w:b/>
          <w:bCs/>
          <w:sz w:val="28"/>
          <w:szCs w:val="28"/>
        </w:rPr>
        <w:t>R</w:t>
      </w:r>
      <w:r w:rsidR="00927F4D" w:rsidRPr="00D848BB">
        <w:rPr>
          <w:b/>
          <w:bCs/>
          <w:sz w:val="28"/>
          <w:szCs w:val="28"/>
        </w:rPr>
        <w:t xml:space="preserve">ight to </w:t>
      </w:r>
      <w:r w:rsidR="00184D07" w:rsidRPr="00D848BB">
        <w:rPr>
          <w:b/>
          <w:bCs/>
          <w:sz w:val="28"/>
          <w:szCs w:val="28"/>
        </w:rPr>
        <w:t>P</w:t>
      </w:r>
      <w:r w:rsidR="00927F4D" w:rsidRPr="00D848BB">
        <w:rPr>
          <w:b/>
          <w:bCs/>
          <w:sz w:val="28"/>
          <w:szCs w:val="28"/>
        </w:rPr>
        <w:t xml:space="preserve">resent a </w:t>
      </w:r>
      <w:r w:rsidR="00184D07" w:rsidRPr="00D848BB">
        <w:rPr>
          <w:b/>
          <w:bCs/>
          <w:sz w:val="28"/>
          <w:szCs w:val="28"/>
        </w:rPr>
        <w:t>D</w:t>
      </w:r>
      <w:r w:rsidR="00927F4D" w:rsidRPr="00D848BB">
        <w:rPr>
          <w:b/>
          <w:bCs/>
          <w:sz w:val="28"/>
          <w:szCs w:val="28"/>
        </w:rPr>
        <w:t>efense</w:t>
      </w:r>
    </w:p>
    <w:p w14:paraId="55D8BB02" w14:textId="77777777" w:rsidR="00D848BB" w:rsidRPr="00D848BB" w:rsidRDefault="00D848BB" w:rsidP="007B422C">
      <w:pPr>
        <w:spacing w:after="0" w:line="276" w:lineRule="auto"/>
        <w:rPr>
          <w:b/>
          <w:bCs/>
          <w:sz w:val="28"/>
          <w:szCs w:val="28"/>
        </w:rPr>
      </w:pPr>
    </w:p>
    <w:p w14:paraId="3C8319C9" w14:textId="6E7A63BA" w:rsidR="00275ADC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(1) </w:t>
      </w:r>
      <w:r w:rsidR="00FC4EB8" w:rsidRPr="00D848BB">
        <w:rPr>
          <w:b/>
          <w:bCs/>
          <w:sz w:val="28"/>
          <w:szCs w:val="28"/>
        </w:rPr>
        <w:t>In a criminal proceeding, a</w:t>
      </w:r>
      <w:r w:rsidR="00A57297" w:rsidRPr="00D848BB">
        <w:rPr>
          <w:b/>
          <w:bCs/>
          <w:sz w:val="28"/>
          <w:szCs w:val="28"/>
        </w:rPr>
        <w:t xml:space="preserve"> </w:t>
      </w:r>
      <w:r w:rsidR="0097178E" w:rsidRPr="00D848BB">
        <w:rPr>
          <w:b/>
          <w:bCs/>
          <w:sz w:val="28"/>
          <w:szCs w:val="28"/>
        </w:rPr>
        <w:t>defendant</w:t>
      </w:r>
      <w:r w:rsidR="006A1C3F" w:rsidRPr="00D848BB">
        <w:rPr>
          <w:b/>
          <w:bCs/>
          <w:sz w:val="28"/>
          <w:szCs w:val="28"/>
        </w:rPr>
        <w:t xml:space="preserve"> has a </w:t>
      </w:r>
      <w:r w:rsidR="0097178E" w:rsidRPr="00D848BB">
        <w:rPr>
          <w:b/>
          <w:bCs/>
          <w:sz w:val="28"/>
          <w:szCs w:val="28"/>
        </w:rPr>
        <w:t xml:space="preserve">constitutional right to </w:t>
      </w:r>
      <w:r w:rsidR="0034307F" w:rsidRPr="00D848BB">
        <w:rPr>
          <w:b/>
          <w:bCs/>
          <w:sz w:val="28"/>
          <w:szCs w:val="28"/>
        </w:rPr>
        <w:t>present a</w:t>
      </w:r>
      <w:r w:rsidR="0097178E" w:rsidRPr="00D848BB">
        <w:rPr>
          <w:b/>
          <w:bCs/>
          <w:sz w:val="28"/>
          <w:szCs w:val="28"/>
        </w:rPr>
        <w:t xml:space="preserve"> defense</w:t>
      </w:r>
      <w:r w:rsidR="00636FDE" w:rsidRPr="00D848BB">
        <w:rPr>
          <w:b/>
          <w:bCs/>
          <w:sz w:val="28"/>
          <w:szCs w:val="28"/>
        </w:rPr>
        <w:t>.</w:t>
      </w:r>
    </w:p>
    <w:p w14:paraId="48036DDF" w14:textId="00582734" w:rsidR="00275ADC" w:rsidRPr="00D848BB" w:rsidRDefault="00275ADC" w:rsidP="007B4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</w:p>
    <w:p w14:paraId="2A51E438" w14:textId="6B878BF2" w:rsidR="00A750F0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(2) </w:t>
      </w:r>
      <w:r w:rsidR="000C77DE" w:rsidRPr="00D848BB">
        <w:rPr>
          <w:b/>
          <w:bCs/>
          <w:sz w:val="28"/>
          <w:szCs w:val="28"/>
        </w:rPr>
        <w:t xml:space="preserve">Depending on the circumstances presented, </w:t>
      </w:r>
      <w:r w:rsidR="00C53FCD" w:rsidRPr="00D848BB">
        <w:rPr>
          <w:b/>
          <w:bCs/>
          <w:sz w:val="28"/>
          <w:szCs w:val="28"/>
        </w:rPr>
        <w:t>t</w:t>
      </w:r>
      <w:r w:rsidR="00123BED" w:rsidRPr="00D848BB">
        <w:rPr>
          <w:b/>
          <w:bCs/>
          <w:sz w:val="28"/>
          <w:szCs w:val="28"/>
        </w:rPr>
        <w:t xml:space="preserve">he constitutional right to a defense </w:t>
      </w:r>
      <w:r w:rsidR="000C77DE" w:rsidRPr="00D848BB">
        <w:rPr>
          <w:b/>
          <w:bCs/>
          <w:sz w:val="28"/>
          <w:szCs w:val="28"/>
        </w:rPr>
        <w:t xml:space="preserve">may </w:t>
      </w:r>
      <w:r w:rsidR="00F0093B" w:rsidRPr="00D848BB">
        <w:rPr>
          <w:b/>
          <w:bCs/>
          <w:sz w:val="28"/>
          <w:szCs w:val="28"/>
        </w:rPr>
        <w:t>authorize the admission of evidence</w:t>
      </w:r>
      <w:r w:rsidR="00A57297" w:rsidRPr="00D848BB">
        <w:rPr>
          <w:b/>
          <w:bCs/>
          <w:sz w:val="28"/>
          <w:szCs w:val="28"/>
        </w:rPr>
        <w:t xml:space="preserve"> </w:t>
      </w:r>
      <w:r w:rsidR="00C53FCD" w:rsidRPr="00D848BB">
        <w:rPr>
          <w:b/>
          <w:bCs/>
          <w:sz w:val="28"/>
          <w:szCs w:val="28"/>
        </w:rPr>
        <w:t>on behalf of</w:t>
      </w:r>
      <w:r w:rsidR="00AD1465" w:rsidRPr="00D848BB">
        <w:rPr>
          <w:b/>
          <w:bCs/>
          <w:sz w:val="28"/>
          <w:szCs w:val="28"/>
        </w:rPr>
        <w:t xml:space="preserve"> a </w:t>
      </w:r>
      <w:r w:rsidR="00C53FCD" w:rsidRPr="00D848BB">
        <w:rPr>
          <w:b/>
          <w:bCs/>
          <w:sz w:val="28"/>
          <w:szCs w:val="28"/>
        </w:rPr>
        <w:t xml:space="preserve">defendant </w:t>
      </w:r>
      <w:r w:rsidR="00A57297" w:rsidRPr="00D848BB">
        <w:rPr>
          <w:b/>
          <w:bCs/>
          <w:sz w:val="28"/>
          <w:szCs w:val="28"/>
        </w:rPr>
        <w:t xml:space="preserve">that would normally be precluded </w:t>
      </w:r>
      <w:r w:rsidR="009F45AE" w:rsidRPr="00D848BB">
        <w:rPr>
          <w:b/>
          <w:bCs/>
          <w:sz w:val="28"/>
          <w:szCs w:val="28"/>
        </w:rPr>
        <w:t xml:space="preserve">by </w:t>
      </w:r>
      <w:r w:rsidR="00A57297" w:rsidRPr="00D848BB">
        <w:rPr>
          <w:b/>
          <w:bCs/>
          <w:sz w:val="28"/>
          <w:szCs w:val="28"/>
        </w:rPr>
        <w:t>the State’s rules of evidence</w:t>
      </w:r>
      <w:r w:rsidR="00790AB1" w:rsidRPr="00D848BB">
        <w:rPr>
          <w:b/>
          <w:bCs/>
          <w:sz w:val="28"/>
          <w:szCs w:val="28"/>
        </w:rPr>
        <w:t>, albeit the right to present a defense does not give a defendant carte blanc</w:t>
      </w:r>
      <w:r w:rsidR="00885B24" w:rsidRPr="00D848BB">
        <w:rPr>
          <w:b/>
          <w:bCs/>
          <w:sz w:val="28"/>
          <w:szCs w:val="28"/>
        </w:rPr>
        <w:t>he</w:t>
      </w:r>
      <w:r w:rsidR="00790AB1" w:rsidRPr="00D848BB">
        <w:rPr>
          <w:b/>
          <w:bCs/>
          <w:sz w:val="28"/>
          <w:szCs w:val="28"/>
        </w:rPr>
        <w:t xml:space="preserve"> to circumvent the State’s rules of evidence.</w:t>
      </w:r>
    </w:p>
    <w:p w14:paraId="6246A1C6" w14:textId="77777777" w:rsidR="00A750F0" w:rsidRPr="00D848BB" w:rsidRDefault="00A750F0" w:rsidP="007B4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</w:p>
    <w:p w14:paraId="760F3B93" w14:textId="3485CE78" w:rsidR="00A750F0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(3) </w:t>
      </w:r>
      <w:r w:rsidR="00A750F0" w:rsidRPr="00D848BB">
        <w:rPr>
          <w:b/>
          <w:bCs/>
          <w:sz w:val="28"/>
          <w:szCs w:val="28"/>
        </w:rPr>
        <w:t xml:space="preserve">Erroneous evidentiary rulings precluding meaningful defense evidence may constitute a violation of the defendant’s </w:t>
      </w:r>
      <w:r w:rsidR="0021482F" w:rsidRPr="00D848BB">
        <w:rPr>
          <w:b/>
          <w:bCs/>
          <w:sz w:val="28"/>
          <w:szCs w:val="28"/>
        </w:rPr>
        <w:t xml:space="preserve">constitutional </w:t>
      </w:r>
      <w:r w:rsidR="00A750F0" w:rsidRPr="00D848BB">
        <w:rPr>
          <w:b/>
          <w:bCs/>
          <w:sz w:val="28"/>
          <w:szCs w:val="28"/>
        </w:rPr>
        <w:t>right to present a defense.</w:t>
      </w:r>
    </w:p>
    <w:p w14:paraId="36CC347B" w14:textId="77777777" w:rsidR="00150568" w:rsidRPr="00D848BB" w:rsidRDefault="00150568" w:rsidP="007B422C">
      <w:pPr>
        <w:spacing w:after="0" w:line="276" w:lineRule="auto"/>
        <w:rPr>
          <w:b/>
          <w:bCs/>
          <w:sz w:val="28"/>
          <w:szCs w:val="28"/>
        </w:rPr>
      </w:pPr>
    </w:p>
    <w:p w14:paraId="4EA49043" w14:textId="58DD2473" w:rsidR="000C77DE" w:rsidRPr="00D848BB" w:rsidRDefault="00743282" w:rsidP="007B422C">
      <w:pPr>
        <w:spacing w:after="0" w:line="276" w:lineRule="auto"/>
        <w:jc w:val="center"/>
        <w:rPr>
          <w:b/>
          <w:bCs/>
        </w:rPr>
      </w:pPr>
      <w:r w:rsidRPr="00D848BB">
        <w:rPr>
          <w:b/>
          <w:bCs/>
        </w:rPr>
        <w:t>Note</w:t>
      </w:r>
    </w:p>
    <w:p w14:paraId="560E2482" w14:textId="77777777" w:rsidR="00D848BB" w:rsidRPr="00D848BB" w:rsidRDefault="00D848BB" w:rsidP="007B422C">
      <w:pPr>
        <w:spacing w:after="0" w:line="276" w:lineRule="auto"/>
        <w:rPr>
          <w:b/>
          <w:bCs/>
        </w:rPr>
      </w:pPr>
    </w:p>
    <w:p w14:paraId="5D949AE0" w14:textId="61DD9B29" w:rsidR="00067D25" w:rsidRDefault="005F1B88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  <w:r w:rsidRPr="00D848BB">
        <w:rPr>
          <w:rFonts w:eastAsia="Times New Roman"/>
          <w:b/>
          <w:bCs/>
          <w:color w:val="000000"/>
          <w:lang w:val="x-none"/>
        </w:rPr>
        <w:tab/>
        <w:t>Subdivision (1)</w:t>
      </w:r>
      <w:r w:rsidR="00997B9D" w:rsidRPr="00D848BB">
        <w:rPr>
          <w:rFonts w:eastAsia="Times New Roman"/>
          <w:b/>
          <w:bCs/>
          <w:color w:val="000000"/>
          <w:lang w:val="x-none"/>
        </w:rPr>
        <w:t xml:space="preserve"> </w:t>
      </w:r>
      <w:r w:rsidRPr="00D848BB">
        <w:rPr>
          <w:rFonts w:eastAsia="Times New Roman"/>
          <w:color w:val="000000"/>
          <w:lang w:val="x-none"/>
        </w:rPr>
        <w:t>states a defendant</w:t>
      </w:r>
      <w:r w:rsidR="00A62AEA">
        <w:rPr>
          <w:rFonts w:eastAsia="Times New Roman"/>
          <w:color w:val="000000"/>
        </w:rPr>
        <w:t>’</w:t>
      </w:r>
      <w:r w:rsidRPr="00D848BB">
        <w:rPr>
          <w:rFonts w:eastAsia="Times New Roman"/>
          <w:color w:val="000000"/>
          <w:lang w:val="x-none"/>
        </w:rPr>
        <w:t>s due process right in a criminal proceeding “</w:t>
      </w:r>
      <w:r w:rsidRPr="00D848BB">
        <w:rPr>
          <w:rFonts w:eastAsia="Times New Roman"/>
          <w:color w:val="000000"/>
          <w:spacing w:val="0"/>
          <w14:ligatures w14:val="none"/>
        </w:rPr>
        <w:t>to a fair opportunity to defend against the State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Pr="00D848BB">
        <w:rPr>
          <w:rFonts w:eastAsia="Times New Roman"/>
          <w:color w:val="000000"/>
          <w:spacing w:val="0"/>
          <w14:ligatures w14:val="none"/>
        </w:rPr>
        <w:t>s accusations.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Pr="00D848BB">
        <w:rPr>
          <w:rFonts w:eastAsia="Times New Roman"/>
          <w:i/>
          <w:iCs/>
          <w:color w:val="000000"/>
          <w:spacing w:val="0"/>
          <w14:ligatures w14:val="none"/>
        </w:rPr>
        <w:t xml:space="preserve"> </w:t>
      </w:r>
      <w:r w:rsidR="00995EF3" w:rsidRPr="00D848BB">
        <w:rPr>
          <w:rFonts w:eastAsia="Times New Roman"/>
          <w:color w:val="000000"/>
          <w:spacing w:val="0"/>
          <w14:ligatures w14:val="none"/>
        </w:rPr>
        <w:t>(</w:t>
      </w:r>
      <w:r w:rsidRPr="00D848BB">
        <w:rPr>
          <w:rFonts w:eastAsia="Times New Roman"/>
          <w:i/>
          <w:iCs/>
          <w:color w:val="000000"/>
          <w:spacing w:val="0"/>
          <w14:ligatures w14:val="none"/>
        </w:rPr>
        <w:t>Chambers v Mississippi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, 410 US 284, 294 [1973];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Washington v Texas</w:t>
      </w:r>
      <w:r w:rsidRPr="00D848BB">
        <w:rPr>
          <w:rFonts w:eastAsia="Times New Roman"/>
          <w:color w:val="000000"/>
          <w:spacing w:val="0"/>
          <w14:ligatures w14:val="none"/>
        </w:rPr>
        <w:t>, 388 US 14, 19 [1967] [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“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The right to offer the testimony of witnesses, and to compel their attendance, if necessary, is in plain terms the right to present a 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defense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];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Foy</w:t>
      </w:r>
      <w:r w:rsidRPr="00D848BB">
        <w:rPr>
          <w:rFonts w:eastAsia="Times New Roman"/>
          <w:color w:val="000000"/>
          <w:spacing w:val="0"/>
          <w14:ligatures w14:val="none"/>
        </w:rPr>
        <w:t>, 32 NY2d 473, 478 [1973] [</w:t>
      </w:r>
      <w:r w:rsidR="00F90C4D" w:rsidRPr="00D848BB">
        <w:rPr>
          <w:rFonts w:eastAsia="Times New Roman"/>
          <w:color w:val="000000"/>
          <w:spacing w:val="0"/>
          <w14:ligatures w14:val="none"/>
        </w:rPr>
        <w:t xml:space="preserve">“ 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‘Few rights are more fundamental than that of an accused to present witnesses in his own defense’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E267A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” 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(</w:t>
      </w:r>
      <w:r w:rsidR="00E267A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quoting </w:t>
      </w:r>
      <w:r w:rsidR="00E267AA" w:rsidRPr="00D848BB">
        <w:rPr>
          <w:rFonts w:eastAsia="Times New Roman"/>
          <w:i/>
          <w:iCs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Chambers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]</w:t>
      </w:r>
      <w:r w:rsidR="00754727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;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067D25"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Carroll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, 95 NY2d 375, 385 [2000]</w:t>
      </w:r>
      <w:r w:rsidR="00754727" w:rsidRPr="00D848BB">
        <w:rPr>
          <w:rFonts w:eastAsia="Times New Roman"/>
          <w:color w:val="000000"/>
          <w:spacing w:val="0"/>
          <w14:ligatures w14:val="none"/>
        </w:rPr>
        <w:t xml:space="preserve"> [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“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A court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s discretion in evidentiary rulings is circumscribed by the rules of evidence and the defendant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s constitutional right to present a defense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="00754727" w:rsidRPr="00D848BB">
        <w:rPr>
          <w:rFonts w:eastAsia="Times New Roman"/>
          <w:color w:val="000000"/>
          <w:spacing w:val="0"/>
          <w14:ligatures w14:val="none"/>
        </w:rPr>
        <w:t>]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.</w:t>
      </w:r>
      <w:r w:rsidR="005E7988" w:rsidRPr="00D848BB">
        <w:rPr>
          <w:rFonts w:eastAsia="Times New Roman"/>
          <w:color w:val="000000"/>
          <w:spacing w:val="0"/>
          <w14:ligatures w14:val="none"/>
        </w:rPr>
        <w:t>)</w:t>
      </w:r>
    </w:p>
    <w:p w14:paraId="34DADAE9" w14:textId="77777777" w:rsidR="009B397E" w:rsidRPr="00D848BB" w:rsidRDefault="009B397E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</w:p>
    <w:p w14:paraId="11FCC743" w14:textId="02C17D39" w:rsidR="006C4010" w:rsidRDefault="00135605" w:rsidP="007B422C">
      <w:pPr>
        <w:spacing w:after="0" w:line="276" w:lineRule="auto"/>
      </w:pPr>
      <w:r w:rsidRPr="00D848BB">
        <w:rPr>
          <w:b/>
          <w:bCs/>
        </w:rPr>
        <w:tab/>
      </w:r>
      <w:r w:rsidR="00997B9D" w:rsidRPr="00D848BB">
        <w:rPr>
          <w:b/>
          <w:bCs/>
        </w:rPr>
        <w:t xml:space="preserve">Subdivision (2) </w:t>
      </w:r>
      <w:r w:rsidR="00BB5390" w:rsidRPr="00D848BB">
        <w:t xml:space="preserve">states the primary </w:t>
      </w:r>
      <w:r w:rsidR="00C31235" w:rsidRPr="00D848BB">
        <w:t>significance</w:t>
      </w:r>
      <w:r w:rsidR="00BB5390" w:rsidRPr="00D848BB">
        <w:t xml:space="preserve"> of the constitution</w:t>
      </w:r>
      <w:r w:rsidR="00B64A75" w:rsidRPr="00D848BB">
        <w:t>al</w:t>
      </w:r>
      <w:r w:rsidR="00BB5390" w:rsidRPr="00D848BB">
        <w:t xml:space="preserve"> right to </w:t>
      </w:r>
      <w:r w:rsidR="00772A9D" w:rsidRPr="00D848BB">
        <w:t>a defense</w:t>
      </w:r>
      <w:r w:rsidR="00EF4C09" w:rsidRPr="00D848BB">
        <w:t xml:space="preserve">; </w:t>
      </w:r>
      <w:r w:rsidR="00772A9D" w:rsidRPr="00D848BB">
        <w:t>namely</w:t>
      </w:r>
      <w:r w:rsidR="00EF4C09" w:rsidRPr="00D848BB">
        <w:t>,</w:t>
      </w:r>
      <w:r w:rsidR="00772A9D" w:rsidRPr="00D848BB">
        <w:t xml:space="preserve"> depending on the circumstance</w:t>
      </w:r>
      <w:r w:rsidR="00EB2A65" w:rsidRPr="00D848BB">
        <w:t>s of a particular case</w:t>
      </w:r>
      <w:r w:rsidR="000726F9" w:rsidRPr="00D848BB">
        <w:t>,</w:t>
      </w:r>
      <w:r w:rsidR="00772A9D" w:rsidRPr="00D848BB">
        <w:t xml:space="preserve"> th</w:t>
      </w:r>
      <w:r w:rsidR="00C31235" w:rsidRPr="00D848BB">
        <w:t>e</w:t>
      </w:r>
      <w:r w:rsidR="00772A9D" w:rsidRPr="00D848BB">
        <w:t xml:space="preserve"> </w:t>
      </w:r>
      <w:r w:rsidR="00C31235" w:rsidRPr="00D848BB">
        <w:t xml:space="preserve">defendant’s </w:t>
      </w:r>
      <w:r w:rsidR="00772A9D" w:rsidRPr="00D848BB">
        <w:t xml:space="preserve">right </w:t>
      </w:r>
      <w:r w:rsidR="00C31235" w:rsidRPr="00D848BB">
        <w:t xml:space="preserve">to present a defense </w:t>
      </w:r>
      <w:r w:rsidR="00273C2A" w:rsidRPr="00D848BB">
        <w:t xml:space="preserve">may </w:t>
      </w:r>
      <w:r w:rsidR="0066693F" w:rsidRPr="00D848BB">
        <w:t>overrule</w:t>
      </w:r>
      <w:r w:rsidR="00772A9D" w:rsidRPr="00D848BB">
        <w:t xml:space="preserve"> a state evidentiary rule barring the admission of </w:t>
      </w:r>
      <w:r w:rsidR="005F3CB3" w:rsidRPr="00D848BB">
        <w:t>evidence a defendant seeks to present</w:t>
      </w:r>
      <w:r w:rsidR="00AF7FA9" w:rsidRPr="00D848BB">
        <w:t>.</w:t>
      </w:r>
    </w:p>
    <w:p w14:paraId="10912A91" w14:textId="77777777" w:rsidR="00B0013D" w:rsidRPr="00D848BB" w:rsidRDefault="00B0013D" w:rsidP="007B422C">
      <w:pPr>
        <w:spacing w:after="0" w:line="276" w:lineRule="auto"/>
        <w:rPr>
          <w:b/>
          <w:bCs/>
        </w:rPr>
      </w:pPr>
    </w:p>
    <w:p w14:paraId="0463A5D5" w14:textId="7A87AAE9" w:rsidR="00502812" w:rsidRDefault="006C4010" w:rsidP="007B422C">
      <w:pPr>
        <w:spacing w:after="0" w:line="276" w:lineRule="auto"/>
      </w:pPr>
      <w:r w:rsidRPr="00D848BB">
        <w:rPr>
          <w:b/>
          <w:bCs/>
        </w:rPr>
        <w:tab/>
      </w:r>
      <w:r w:rsidR="00C4033A" w:rsidRPr="00D848BB">
        <w:t>A</w:t>
      </w:r>
      <w:r w:rsidR="00D35A37" w:rsidRPr="00D848BB">
        <w:t>s the rule also states, a</w:t>
      </w:r>
      <w:r w:rsidR="00126343" w:rsidRPr="00D848BB">
        <w:t xml:space="preserve"> </w:t>
      </w:r>
      <w:r w:rsidR="00502812" w:rsidRPr="00D848BB">
        <w:t>defendant’s</w:t>
      </w:r>
      <w:r w:rsidR="00476FB8" w:rsidRPr="00D848BB">
        <w:t xml:space="preserve"> </w:t>
      </w:r>
      <w:r w:rsidR="00502812" w:rsidRPr="00D848BB">
        <w:t>right to present a defense</w:t>
      </w:r>
      <w:r w:rsidR="00C4033A" w:rsidRPr="00D848BB">
        <w:t>, however,</w:t>
      </w:r>
      <w:r w:rsidR="00476FB8" w:rsidRPr="00D848BB">
        <w:t xml:space="preserve"> </w:t>
      </w:r>
      <w:r w:rsidR="00C4033A" w:rsidRPr="00D848BB">
        <w:t>“</w:t>
      </w:r>
      <w:r w:rsidR="00333A9B" w:rsidRPr="00D848BB">
        <w:t xml:space="preserve"> </w:t>
      </w:r>
      <w:r w:rsidR="004F5F57" w:rsidRPr="00D848BB">
        <w:t>‘</w:t>
      </w:r>
      <w:r w:rsidR="00502812" w:rsidRPr="00D848BB">
        <w:t>does not give criminal defendants carte blanche to circumvent the rules of evidence’</w:t>
      </w:r>
      <w:r w:rsidR="00784761" w:rsidRPr="00D848BB">
        <w:t xml:space="preserve"> ”</w:t>
      </w:r>
      <w:r w:rsidR="00502812" w:rsidRPr="00D848BB">
        <w:t xml:space="preserve"> (</w:t>
      </w:r>
      <w:r w:rsidR="00502812" w:rsidRPr="00D848BB">
        <w:rPr>
          <w:i/>
          <w:iCs/>
        </w:rPr>
        <w:t>People v Hayes</w:t>
      </w:r>
      <w:r w:rsidR="00502812" w:rsidRPr="00D848BB">
        <w:t>, 17 NY3d 46, 53 [2011] [internal quotation marks</w:t>
      </w:r>
      <w:r w:rsidR="00C11F5E" w:rsidRPr="00D848BB">
        <w:t xml:space="preserve"> and citation</w:t>
      </w:r>
      <w:r w:rsidR="00502812" w:rsidRPr="00D848BB">
        <w:t xml:space="preserve"> omitted], quoting </w:t>
      </w:r>
      <w:r w:rsidR="00502812" w:rsidRPr="00D848BB">
        <w:rPr>
          <w:i/>
          <w:iCs/>
        </w:rPr>
        <w:t>United States v Almonte</w:t>
      </w:r>
      <w:r w:rsidR="00502812" w:rsidRPr="00D848BB">
        <w:t>, 956 F2d 27, 30 [2d Cir 1992]</w:t>
      </w:r>
      <w:r w:rsidR="00EB707C" w:rsidRPr="00D848BB">
        <w:t>;</w:t>
      </w:r>
      <w:r w:rsidR="00126343" w:rsidRPr="00D848BB">
        <w:t xml:space="preserve"> </w:t>
      </w:r>
      <w:r w:rsidR="00126343" w:rsidRPr="00D848BB">
        <w:rPr>
          <w:i/>
          <w:iCs/>
        </w:rPr>
        <w:t>People v Jin Cheng Lin</w:t>
      </w:r>
      <w:r w:rsidR="004F028C" w:rsidRPr="00D848BB">
        <w:t xml:space="preserve">, </w:t>
      </w:r>
      <w:r w:rsidR="00126343" w:rsidRPr="00D848BB">
        <w:t>26 NY3d 701, 727 [2016])</w:t>
      </w:r>
      <w:r w:rsidR="000336B8" w:rsidRPr="00D848BB">
        <w:t>.</w:t>
      </w:r>
    </w:p>
    <w:p w14:paraId="6BE4D35B" w14:textId="77777777" w:rsidR="00926B1C" w:rsidRDefault="00926B1C" w:rsidP="007B422C">
      <w:pPr>
        <w:spacing w:after="0" w:line="276" w:lineRule="auto"/>
      </w:pPr>
    </w:p>
    <w:p w14:paraId="4ECF3127" w14:textId="32A6B1CE" w:rsidR="00CE3F08" w:rsidRDefault="00502812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8"/>
        </w:tabs>
        <w:spacing w:after="0" w:line="276" w:lineRule="auto"/>
      </w:pPr>
      <w:r w:rsidRPr="00D848BB">
        <w:tab/>
      </w:r>
      <w:r w:rsidRPr="00D848BB">
        <w:rPr>
          <w:i/>
          <w:iCs/>
        </w:rPr>
        <w:t>Almonte</w:t>
      </w:r>
      <w:r w:rsidRPr="00D848BB">
        <w:t>,</w:t>
      </w:r>
      <w:r w:rsidRPr="00D848BB">
        <w:rPr>
          <w:i/>
          <w:iCs/>
        </w:rPr>
        <w:t xml:space="preserve"> </w:t>
      </w:r>
      <w:r w:rsidRPr="00D848BB">
        <w:t xml:space="preserve">cited by </w:t>
      </w:r>
      <w:r w:rsidRPr="00D848BB">
        <w:rPr>
          <w:i/>
          <w:iCs/>
        </w:rPr>
        <w:t>Lin</w:t>
      </w:r>
      <w:r w:rsidRPr="00D848BB">
        <w:t xml:space="preserve"> and </w:t>
      </w:r>
      <w:r w:rsidRPr="00D848BB">
        <w:rPr>
          <w:i/>
          <w:iCs/>
        </w:rPr>
        <w:t>Hayes</w:t>
      </w:r>
      <w:r w:rsidRPr="00D848BB">
        <w:t>,</w:t>
      </w:r>
      <w:r w:rsidRPr="00D848BB">
        <w:rPr>
          <w:i/>
          <w:iCs/>
        </w:rPr>
        <w:t xml:space="preserve"> </w:t>
      </w:r>
      <w:r w:rsidRPr="00D848BB">
        <w:t>noted the</w:t>
      </w:r>
      <w:r w:rsidR="00C8186B" w:rsidRPr="00D848BB">
        <w:t xml:space="preserve"> same</w:t>
      </w:r>
      <w:r w:rsidRPr="00D848BB">
        <w:t xml:space="preserve"> limitations on the right to present a defense</w:t>
      </w:r>
      <w:r w:rsidR="00692CF3" w:rsidRPr="00D848BB">
        <w:t xml:space="preserve">: </w:t>
      </w:r>
      <w:r w:rsidRPr="00D848BB">
        <w:t xml:space="preserve">“The right to present a defense, however, does not give criminal defendants carte blanche to circumvent the rules of evidence. Restrictions on a defendant’s presentation of evidence are constitutional if they serve ‘legitimate interests in the criminal trial process,’ </w:t>
      </w:r>
      <w:r w:rsidRPr="00D848BB">
        <w:rPr>
          <w:i/>
          <w:iCs/>
        </w:rPr>
        <w:t>Rock v. Arkansas,</w:t>
      </w:r>
      <w:r w:rsidRPr="00D848BB">
        <w:t xml:space="preserve"> 483 U.S. 44, 55, 107 S.Ct. 2704, 2711, 97 L.Ed.2d 37 (1987) (quoting </w:t>
      </w:r>
      <w:r w:rsidRPr="00D848BB">
        <w:rPr>
          <w:i/>
          <w:iCs/>
        </w:rPr>
        <w:t>Chambers v. Mississippi,</w:t>
      </w:r>
      <w:r w:rsidRPr="00D848BB">
        <w:t xml:space="preserve"> 410 U.S. 284, 295, 93 S.Ct. 1038, 1046, 35 L.Ed.2d 297 (1973)), and are not ‘arbitrary or disproportionate to the purposes they are designed to serve.’ </w:t>
      </w:r>
      <w:r w:rsidRPr="00D848BB">
        <w:rPr>
          <w:i/>
          <w:iCs/>
        </w:rPr>
        <w:t>Rock,</w:t>
      </w:r>
      <w:r w:rsidRPr="00D848BB">
        <w:t xml:space="preserve"> 483 U.S. at 56, 107 S.Ct. at 2711. </w:t>
      </w:r>
      <w:r w:rsidRPr="00D848BB">
        <w:rPr>
          <w:i/>
          <w:iCs/>
        </w:rPr>
        <w:t>See also Taylor v. Illinois,</w:t>
      </w:r>
      <w:r w:rsidRPr="00D848BB">
        <w:t xml:space="preserve"> 484 U.S. 400, 414</w:t>
      </w:r>
      <w:r w:rsidR="005A15FE" w:rsidRPr="00D848BB">
        <w:t>-</w:t>
      </w:r>
      <w:r w:rsidRPr="00D848BB">
        <w:t>16, 108 S.Ct. 646, 655</w:t>
      </w:r>
      <w:r w:rsidR="005A15FE" w:rsidRPr="00D848BB">
        <w:t>-</w:t>
      </w:r>
      <w:r w:rsidRPr="00D848BB">
        <w:t>56, 98 L.Ed.2d 798 (1988)” (</w:t>
      </w:r>
      <w:r w:rsidRPr="00D848BB">
        <w:rPr>
          <w:i/>
          <w:iCs/>
        </w:rPr>
        <w:t>Almonte</w:t>
      </w:r>
      <w:r w:rsidRPr="00D848BB">
        <w:t>, 956 F2d at 30).</w:t>
      </w:r>
    </w:p>
    <w:p w14:paraId="170CD808" w14:textId="77777777" w:rsidR="00B0013D" w:rsidRPr="00D848BB" w:rsidRDefault="00B0013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8"/>
        </w:tabs>
        <w:spacing w:after="0" w:line="276" w:lineRule="auto"/>
      </w:pPr>
    </w:p>
    <w:p w14:paraId="51D42796" w14:textId="13477BCB" w:rsidR="00502812" w:rsidRDefault="00502812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</w:pPr>
      <w:r w:rsidRPr="00D848BB">
        <w:tab/>
        <w:t>Examples of the application of the</w:t>
      </w:r>
      <w:r w:rsidR="00A35DE9" w:rsidRPr="00D848BB">
        <w:t xml:space="preserve"> defendant’s</w:t>
      </w:r>
      <w:r w:rsidRPr="00D848BB">
        <w:t xml:space="preserve"> right to a defense </w:t>
      </w:r>
      <w:r w:rsidR="00161EA5" w:rsidRPr="00D848BB">
        <w:t>which permits</w:t>
      </w:r>
      <w:r w:rsidR="007E68DC" w:rsidRPr="00D848BB">
        <w:t xml:space="preserve"> </w:t>
      </w:r>
      <w:r w:rsidR="00942E3F" w:rsidRPr="00D848BB">
        <w:t xml:space="preserve">the introduction of </w:t>
      </w:r>
      <w:r w:rsidR="007E68DC" w:rsidRPr="00D848BB">
        <w:t>evidence that</w:t>
      </w:r>
      <w:r w:rsidR="00FA0FA1" w:rsidRPr="00D848BB">
        <w:t xml:space="preserve"> might</w:t>
      </w:r>
      <w:r w:rsidR="00610F58" w:rsidRPr="00D848BB">
        <w:t xml:space="preserve"> </w:t>
      </w:r>
      <w:r w:rsidR="007E68DC" w:rsidRPr="00D848BB">
        <w:t xml:space="preserve">otherwise be inadmissible </w:t>
      </w:r>
      <w:r w:rsidR="00EC3601" w:rsidRPr="00D848BB">
        <w:t xml:space="preserve">under New York’s evidentiary rules </w:t>
      </w:r>
      <w:r w:rsidR="007E68DC" w:rsidRPr="00D848BB">
        <w:t>include</w:t>
      </w:r>
      <w:r w:rsidRPr="00D848BB">
        <w:t xml:space="preserve">: </w:t>
      </w:r>
    </w:p>
    <w:p w14:paraId="3EA28733" w14:textId="77777777" w:rsidR="00B0013D" w:rsidRPr="00D848BB" w:rsidRDefault="00B0013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</w:pPr>
    </w:p>
    <w:p w14:paraId="74D1E131" w14:textId="0888F3DE" w:rsidR="00B26495" w:rsidRPr="00D848BB" w:rsidRDefault="00AB3707" w:rsidP="007B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76" w:lineRule="auto"/>
        <w:rPr>
          <w:rFonts w:eastAsia="Times New Roman"/>
          <w:color w:val="000000"/>
        </w:rPr>
      </w:pPr>
      <w:r w:rsidRPr="00D848BB">
        <w:t xml:space="preserve">In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Robinson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 </w:t>
      </w:r>
      <w:r w:rsidR="00AC71E1" w:rsidRPr="00D848BB">
        <w:rPr>
          <w:rFonts w:eastAsia="Times New Roman"/>
          <w:color w:val="000000"/>
          <w:spacing w:val="0"/>
          <w14:ligatures w14:val="none"/>
        </w:rPr>
        <w:t>(</w:t>
      </w:r>
      <w:r w:rsidRPr="00D848BB">
        <w:rPr>
          <w:rFonts w:eastAsia="Times New Roman"/>
          <w:color w:val="000000"/>
          <w:spacing w:val="0"/>
          <w14:ligatures w14:val="none"/>
        </w:rPr>
        <w:t>89 NY2d 648, 650 [1997]</w:t>
      </w:r>
      <w:r w:rsidR="00AC71E1" w:rsidRPr="00D848BB">
        <w:rPr>
          <w:rFonts w:eastAsia="Times New Roman"/>
          <w:color w:val="000000"/>
          <w:spacing w:val="0"/>
          <w14:ligatures w14:val="none"/>
        </w:rPr>
        <w:t>)</w:t>
      </w:r>
      <w:r w:rsidRPr="00D848BB">
        <w:t xml:space="preserve">, </w:t>
      </w:r>
      <w:r w:rsidR="00F5763A" w:rsidRPr="00D848BB">
        <w:t>t</w:t>
      </w:r>
      <w:r w:rsidRPr="00D848BB">
        <w:t>he defendant’s right to a defens</w:t>
      </w:r>
      <w:r w:rsidR="0043671A">
        <w:t xml:space="preserve">e required </w:t>
      </w:r>
      <w:r w:rsidRPr="00D848BB">
        <w:t xml:space="preserve">“the admission of hearsay not encompassed within a hearsay exception when the court finds that the declarant is unavailable to testify and the </w:t>
      </w:r>
      <w:r w:rsidRPr="009B397E">
        <w:t>hearsay is material, exculpatory and has sufficient indicia of reliability” (</w:t>
      </w:r>
      <w:r w:rsidR="00AC71E1" w:rsidRPr="009B397E">
        <w:rPr>
          <w:i/>
          <w:iCs/>
        </w:rPr>
        <w:t>s</w:t>
      </w:r>
      <w:r w:rsidR="00646F3E" w:rsidRPr="009B397E">
        <w:rPr>
          <w:i/>
          <w:iCs/>
        </w:rPr>
        <w:t xml:space="preserve">ee </w:t>
      </w:r>
      <w:r w:rsidRPr="009B397E">
        <w:t xml:space="preserve">Guide to NY Evid rule </w:t>
      </w:r>
      <w:bookmarkStart w:id="0" w:name="_Hlk157342331"/>
      <w:r w:rsidRPr="009B397E">
        <w:t xml:space="preserve">8.01 [1] [b], </w:t>
      </w:r>
      <w:bookmarkEnd w:id="0"/>
      <w:r w:rsidRPr="009B397E">
        <w:t>Admissibility of Hearsay</w:t>
      </w:r>
      <w:r w:rsidR="00AC71E1" w:rsidRPr="009B397E">
        <w:t>;</w:t>
      </w:r>
      <w:r w:rsidRPr="009B397E">
        <w:t xml:space="preserve"> </w:t>
      </w:r>
      <w:r w:rsidR="00AC71E1" w:rsidRPr="009B397E">
        <w:rPr>
          <w:rFonts w:eastAsia="Times New Roman"/>
          <w:i/>
          <w:iCs/>
          <w:color w:val="000000"/>
        </w:rPr>
        <w:t>c</w:t>
      </w:r>
      <w:r w:rsidRPr="009B397E">
        <w:rPr>
          <w:rFonts w:eastAsia="Times New Roman"/>
          <w:i/>
          <w:iCs/>
          <w:color w:val="000000"/>
        </w:rPr>
        <w:t>f. People v Burns</w:t>
      </w:r>
      <w:r w:rsidRPr="009B397E">
        <w:rPr>
          <w:rFonts w:eastAsia="Times New Roman"/>
          <w:color w:val="000000"/>
        </w:rPr>
        <w:t xml:space="preserve">, 6 </w:t>
      </w:r>
      <w:r w:rsidRPr="00D848BB">
        <w:rPr>
          <w:rFonts w:eastAsia="Times New Roman"/>
          <w:color w:val="000000"/>
        </w:rPr>
        <w:t>NY3d 793, 795 [2006] [the defendant’s right to present a defense was not violated</w:t>
      </w:r>
      <w:r w:rsidR="00F81FCD" w:rsidRPr="00D848BB">
        <w:rPr>
          <w:rFonts w:eastAsia="Times New Roman"/>
          <w:color w:val="000000"/>
        </w:rPr>
        <w:t xml:space="preserve"> given that </w:t>
      </w:r>
      <w:r w:rsidRPr="00D848BB">
        <w:rPr>
          <w:rFonts w:eastAsia="Times New Roman"/>
          <w:color w:val="000000"/>
        </w:rPr>
        <w:t xml:space="preserve">the trial court “afforded defendant another way to elicit the </w:t>
      </w:r>
      <w:r w:rsidR="00AC71E1" w:rsidRPr="00D848BB">
        <w:rPr>
          <w:rFonts w:eastAsia="Times New Roman"/>
          <w:color w:val="000000"/>
        </w:rPr>
        <w:t>(</w:t>
      </w:r>
      <w:r w:rsidRPr="00D848BB">
        <w:rPr>
          <w:rFonts w:eastAsia="Times New Roman"/>
          <w:color w:val="000000"/>
        </w:rPr>
        <w:t>hearsay</w:t>
      </w:r>
      <w:r w:rsidR="00AC71E1" w:rsidRPr="00D848BB">
        <w:rPr>
          <w:rFonts w:eastAsia="Times New Roman"/>
          <w:color w:val="000000"/>
        </w:rPr>
        <w:t>)</w:t>
      </w:r>
      <w:r w:rsidRPr="00D848BB">
        <w:rPr>
          <w:rFonts w:eastAsia="Times New Roman"/>
          <w:color w:val="000000"/>
        </w:rPr>
        <w:t xml:space="preserve"> information”; and “</w:t>
      </w:r>
      <w:r w:rsidR="000371E6" w:rsidRPr="00D848BB">
        <w:rPr>
          <w:rFonts w:eastAsia="Times New Roman"/>
          <w:color w:val="000000"/>
        </w:rPr>
        <w:t>(</w:t>
      </w:r>
      <w:r w:rsidRPr="00D848BB">
        <w:rPr>
          <w:rFonts w:eastAsia="Times New Roman"/>
          <w:color w:val="000000"/>
        </w:rPr>
        <w:t>i</w:t>
      </w:r>
      <w:r w:rsidR="000371E6" w:rsidRPr="00D848BB">
        <w:rPr>
          <w:rFonts w:eastAsia="Times New Roman"/>
          <w:color w:val="000000"/>
        </w:rPr>
        <w:t>)</w:t>
      </w:r>
      <w:r w:rsidRPr="00D848BB">
        <w:rPr>
          <w:rFonts w:eastAsia="Times New Roman"/>
          <w:color w:val="000000"/>
        </w:rPr>
        <w:t xml:space="preserve">n any event, </w:t>
      </w:r>
      <w:r w:rsidR="000371E6" w:rsidRPr="00D848BB">
        <w:rPr>
          <w:rFonts w:eastAsia="Times New Roman"/>
          <w:color w:val="000000"/>
        </w:rPr>
        <w:t xml:space="preserve">. . . </w:t>
      </w:r>
      <w:r w:rsidRPr="00D848BB">
        <w:rPr>
          <w:rFonts w:eastAsia="Times New Roman"/>
          <w:color w:val="000000"/>
        </w:rPr>
        <w:t>the hearsay statement lacked any indicia of reliability</w:t>
      </w:r>
      <w:r w:rsidR="00B26495" w:rsidRPr="00D848BB">
        <w:rPr>
          <w:rFonts w:eastAsia="Times New Roman"/>
          <w:color w:val="000000"/>
        </w:rPr>
        <w:t>”]</w:t>
      </w:r>
      <w:r w:rsidR="00556222" w:rsidRPr="00D848BB">
        <w:rPr>
          <w:rFonts w:eastAsia="Times New Roman"/>
          <w:color w:val="000000"/>
        </w:rPr>
        <w:t>).</w:t>
      </w:r>
    </w:p>
    <w:p w14:paraId="3C423FAB" w14:textId="77777777" w:rsidR="00502812" w:rsidRPr="00D848BB" w:rsidRDefault="00502812" w:rsidP="007B422C">
      <w:pPr>
        <w:spacing w:after="0" w:line="276" w:lineRule="auto"/>
      </w:pPr>
    </w:p>
    <w:p w14:paraId="5491674D" w14:textId="78E10A2C" w:rsidR="00502812" w:rsidRPr="00D848BB" w:rsidRDefault="00502812" w:rsidP="007B42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</w:pPr>
      <w:r w:rsidRPr="00D848BB">
        <w:t xml:space="preserve">In </w:t>
      </w:r>
      <w:r w:rsidRPr="00D848BB">
        <w:rPr>
          <w:i/>
          <w:iCs/>
        </w:rPr>
        <w:t>People v Sidbury</w:t>
      </w:r>
      <w:r w:rsidR="000371E6" w:rsidRPr="00D848BB">
        <w:t xml:space="preserve"> </w:t>
      </w:r>
      <w:r w:rsidR="00AD6C9C" w:rsidRPr="00D848BB">
        <w:t>(</w:t>
      </w:r>
      <w:r w:rsidR="00EC1F0E" w:rsidRPr="00B54BF7">
        <w:rPr>
          <w:rFonts w:eastAsia="Verdana"/>
          <w:spacing w:val="-2"/>
          <w14:ligatures w14:val="none"/>
        </w:rPr>
        <w:t>42 N.Y.3d 497</w:t>
      </w:r>
      <w:r w:rsidR="00B6387C" w:rsidRPr="00D848BB">
        <w:rPr>
          <w:shd w:val="clear" w:color="auto" w:fill="FFFFFF"/>
        </w:rPr>
        <w:t> </w:t>
      </w:r>
      <w:r w:rsidRPr="00D848BB">
        <w:t>[2024]</w:t>
      </w:r>
      <w:r w:rsidR="00AD6C9C" w:rsidRPr="00D848BB">
        <w:t>)</w:t>
      </w:r>
      <w:r w:rsidRPr="00D848BB">
        <w:t>, the Court held that the trial court “impinged [the defendant’s] constitutional right to present a defense and call witnesses</w:t>
      </w:r>
      <w:r w:rsidR="00AD6C9C" w:rsidRPr="00D848BB">
        <w:t>”</w:t>
      </w:r>
      <w:r w:rsidRPr="00D848BB">
        <w:t xml:space="preserve"> when it precluded his psychiatric defense </w:t>
      </w:r>
      <w:r w:rsidR="00FB25C6" w:rsidRPr="00D848BB">
        <w:t xml:space="preserve">for his failure </w:t>
      </w:r>
      <w:r w:rsidR="00A32E69" w:rsidRPr="00D848BB">
        <w:t>to provide, as required by statute, a</w:t>
      </w:r>
      <w:r w:rsidR="00ED6332" w:rsidRPr="00D848BB">
        <w:t xml:space="preserve"> </w:t>
      </w:r>
      <w:r w:rsidRPr="00D848BB">
        <w:t xml:space="preserve">timely notice of an intent to present that defense. </w:t>
      </w:r>
      <w:r w:rsidR="00C61F36" w:rsidRPr="00D848BB">
        <w:t>(</w:t>
      </w:r>
      <w:r w:rsidR="00C61F36">
        <w:t xml:space="preserve">42 </w:t>
      </w:r>
      <w:r w:rsidR="00C61F36" w:rsidRPr="00D848BB">
        <w:t>NY3d at</w:t>
      </w:r>
      <w:r w:rsidR="00C61F36">
        <w:t xml:space="preserve"> 508</w:t>
      </w:r>
      <w:r w:rsidR="00C61F36" w:rsidRPr="00D848BB">
        <w:t>.)</w:t>
      </w:r>
      <w:r w:rsidR="00C61F36">
        <w:t xml:space="preserve">  </w:t>
      </w:r>
      <w:r w:rsidR="00D470D2" w:rsidRPr="00D848BB">
        <w:rPr>
          <w:i/>
          <w:iCs/>
        </w:rPr>
        <w:t>Sidbury</w:t>
      </w:r>
      <w:r w:rsidR="00D470D2" w:rsidRPr="00D848BB">
        <w:t xml:space="preserve"> found that the trial </w:t>
      </w:r>
      <w:r w:rsidRPr="00D848BB">
        <w:t>court did not consider “potential prejudice to the People” from the late notice “or alternatives that might cure any prejudice, such as a delay of the trial.”</w:t>
      </w:r>
      <w:r w:rsidR="00312345" w:rsidRPr="00D848BB">
        <w:t xml:space="preserve"> (</w:t>
      </w:r>
      <w:r w:rsidR="00EC1F0E">
        <w:t xml:space="preserve">42 </w:t>
      </w:r>
      <w:r w:rsidR="00312345" w:rsidRPr="00D848BB">
        <w:t>NY3d at</w:t>
      </w:r>
      <w:r w:rsidR="00D470F9">
        <w:t xml:space="preserve"> 5</w:t>
      </w:r>
      <w:r w:rsidR="00E03BE5">
        <w:t>10</w:t>
      </w:r>
      <w:r w:rsidR="00312345" w:rsidRPr="00D848BB">
        <w:t>.)</w:t>
      </w:r>
      <w:r w:rsidRPr="00D848BB">
        <w:t xml:space="preserve"> Thus, the court failed “to balance prejudice to the People resulting from the delayed notice against [the defendant’s] constitutional right to present a defense.” </w:t>
      </w:r>
      <w:r w:rsidR="00312345" w:rsidRPr="00D848BB">
        <w:t>(</w:t>
      </w:r>
      <w:r w:rsidR="00EC1F0E">
        <w:t>42</w:t>
      </w:r>
      <w:r w:rsidR="00312345" w:rsidRPr="00D848BB">
        <w:t xml:space="preserve"> NY3d at</w:t>
      </w:r>
      <w:r w:rsidR="00D470F9">
        <w:t xml:space="preserve"> 50</w:t>
      </w:r>
      <w:r w:rsidR="007B70FA">
        <w:t>9</w:t>
      </w:r>
      <w:r w:rsidR="00312345" w:rsidRPr="00D848BB">
        <w:t>.)</w:t>
      </w:r>
      <w:r w:rsidRPr="00D848BB">
        <w:t xml:space="preserve"> </w:t>
      </w:r>
    </w:p>
    <w:p w14:paraId="7EDF3617" w14:textId="77777777" w:rsidR="00997B9D" w:rsidRPr="00D848BB" w:rsidRDefault="00997B9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76" w:lineRule="auto"/>
      </w:pPr>
    </w:p>
    <w:p w14:paraId="794FEDF5" w14:textId="3727B491" w:rsidR="00C26EF2" w:rsidRPr="00D848BB" w:rsidRDefault="004F159D" w:rsidP="007B422C">
      <w:pPr>
        <w:pStyle w:val="ListParagraph"/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76" w:lineRule="auto"/>
        <w:ind w:left="0"/>
        <w:rPr>
          <w:rFonts w:eastAsia="Times New Roman"/>
          <w:color w:val="000000"/>
          <w:spacing w:val="0"/>
          <w14:ligatures w14:val="none"/>
        </w:rPr>
      </w:pPr>
      <w:r w:rsidRPr="00D848BB">
        <w:rPr>
          <w:b/>
          <w:bCs/>
        </w:rPr>
        <w:tab/>
      </w:r>
      <w:r w:rsidR="00633F43" w:rsidRPr="00D848BB">
        <w:rPr>
          <w:b/>
          <w:bCs/>
        </w:rPr>
        <w:t>Subdivision</w:t>
      </w:r>
      <w:r w:rsidR="00997B9D" w:rsidRPr="00D848BB">
        <w:rPr>
          <w:b/>
          <w:bCs/>
        </w:rPr>
        <w:t xml:space="preserve"> (3)</w:t>
      </w:r>
      <w:r w:rsidR="00633F43" w:rsidRPr="00D848BB">
        <w:t xml:space="preserve"> is derived from </w:t>
      </w:r>
      <w:r w:rsidR="00997B9D" w:rsidRPr="00D848BB">
        <w:rPr>
          <w:i/>
          <w:iCs/>
        </w:rPr>
        <w:t>People v Deverow</w:t>
      </w:r>
      <w:r w:rsidR="00997B9D" w:rsidRPr="00D848BB">
        <w:t xml:space="preserve"> </w:t>
      </w:r>
      <w:r w:rsidR="00493A3A" w:rsidRPr="00D848BB">
        <w:t>(</w:t>
      </w:r>
      <w:r w:rsidR="00997B9D" w:rsidRPr="00D848BB">
        <w:t>38 NY3d 157 [2022]</w:t>
      </w:r>
      <w:r w:rsidR="00493A3A" w:rsidRPr="00D848BB">
        <w:t>)</w:t>
      </w:r>
      <w:r w:rsidR="00997B9D" w:rsidRPr="00D848BB">
        <w:t>,</w:t>
      </w:r>
      <w:r w:rsidR="00593884" w:rsidRPr="00D848BB">
        <w:t xml:space="preserve"> where</w:t>
      </w:r>
      <w:r w:rsidR="00997B9D" w:rsidRPr="00D848BB">
        <w:t xml:space="preserve"> the </w:t>
      </w:r>
      <w:r w:rsidR="00593884" w:rsidRPr="00D848BB">
        <w:t xml:space="preserve">trial court’s </w:t>
      </w:r>
      <w:r w:rsidR="00F75DB0" w:rsidRPr="00D848BB">
        <w:t xml:space="preserve">four </w:t>
      </w:r>
      <w:r w:rsidR="00223AF8" w:rsidRPr="00D848BB">
        <w:t xml:space="preserve">erroneous evidentiary rulings </w:t>
      </w:r>
      <w:r w:rsidR="00CB7AEC" w:rsidRPr="00D848BB">
        <w:t xml:space="preserve">in sum deprived the defendant of the right to present a defense. </w:t>
      </w:r>
      <w:r w:rsidR="00EB1CFA" w:rsidRPr="00D848BB">
        <w:t>More specifically,</w:t>
      </w:r>
      <w:r w:rsidR="00CB7AEC" w:rsidRPr="00D848BB">
        <w:t xml:space="preserve"> </w:t>
      </w:r>
      <w:r w:rsidR="00CB7AEC" w:rsidRPr="00D848BB">
        <w:rPr>
          <w:i/>
          <w:iCs/>
        </w:rPr>
        <w:t>Deverow</w:t>
      </w:r>
      <w:r w:rsidR="00997B9D" w:rsidRPr="00D848BB">
        <w:t xml:space="preserve"> </w:t>
      </w:r>
      <w:r w:rsidR="00322047" w:rsidRPr="00D848BB">
        <w:t xml:space="preserve">found </w:t>
      </w:r>
      <w:r w:rsidR="00997B9D" w:rsidRPr="00D848BB">
        <w:t xml:space="preserve">that the trial court erred in excluding a defense witness on the grounds that the witness’s proffered evidence was collateral, and </w:t>
      </w:r>
      <w:r w:rsidR="00280826" w:rsidRPr="00D848BB">
        <w:t xml:space="preserve">the trial court erred </w:t>
      </w:r>
      <w:r w:rsidR="00997B9D" w:rsidRPr="00D848BB">
        <w:t xml:space="preserve">in excluding three 911 calls that the defense </w:t>
      </w:r>
      <w:r w:rsidR="0048491C" w:rsidRPr="00D848BB">
        <w:t>offere</w:t>
      </w:r>
      <w:r w:rsidR="00514195" w:rsidRPr="00D848BB">
        <w:t xml:space="preserve">d and </w:t>
      </w:r>
      <w:r w:rsidR="00514195" w:rsidRPr="00D848BB">
        <w:lastRenderedPageBreak/>
        <w:t xml:space="preserve">were admissible </w:t>
      </w:r>
      <w:r w:rsidR="0048491C" w:rsidRPr="00D848BB">
        <w:t xml:space="preserve">pursuant to the </w:t>
      </w:r>
      <w:r w:rsidR="00997B9D" w:rsidRPr="00D848BB">
        <w:t xml:space="preserve">“present sense impression” exceptions to the hearsay rule. Those </w:t>
      </w:r>
      <w:r w:rsidR="00C02DF4" w:rsidRPr="00D848BB">
        <w:t xml:space="preserve">trial court </w:t>
      </w:r>
      <w:r w:rsidR="00997B9D" w:rsidRPr="00D848BB">
        <w:t>rulings,</w:t>
      </w:r>
      <w:r w:rsidR="0048491C" w:rsidRPr="00D848BB">
        <w:rPr>
          <w:i/>
          <w:iCs/>
        </w:rPr>
        <w:t xml:space="preserve"> Deverow</w:t>
      </w:r>
      <w:r w:rsidR="0048491C" w:rsidRPr="00D848BB">
        <w:t xml:space="preserve"> </w:t>
      </w:r>
      <w:r w:rsidR="00997B9D" w:rsidRPr="00D848BB">
        <w:t>held, “deprived defendant of ‘a meaningful opportunity to present a complete defense’ ” (</w:t>
      </w:r>
      <w:r w:rsidR="00997B9D" w:rsidRPr="00D848BB">
        <w:rPr>
          <w:i/>
          <w:iCs/>
        </w:rPr>
        <w:t>id.</w:t>
      </w:r>
      <w:r w:rsidR="00997B9D" w:rsidRPr="00D848BB">
        <w:t xml:space="preserve"> at 168). “</w:t>
      </w:r>
      <w:r w:rsidR="00997B9D" w:rsidRPr="00D848BB">
        <w:rPr>
          <w:lang w:val="x-none"/>
        </w:rPr>
        <w:t xml:space="preserve">Although this </w:t>
      </w:r>
      <w:r w:rsidR="00997B9D" w:rsidRPr="00D848BB">
        <w:t>‘</w:t>
      </w:r>
      <w:r w:rsidR="00997B9D" w:rsidRPr="00D848BB">
        <w:rPr>
          <w:lang w:val="x-none"/>
        </w:rPr>
        <w:t>right to present a defense does not give</w:t>
      </w:r>
      <w:r w:rsidR="00997B9D" w:rsidRPr="00D848BB">
        <w:t xml:space="preserve"> </w:t>
      </w:r>
      <w:r w:rsidR="00997B9D" w:rsidRPr="00D848BB">
        <w:rPr>
          <w:lang w:val="x-none"/>
        </w:rPr>
        <w:t>criminal defendants carte blanche to circumvent the rules of evidence</w:t>
      </w:r>
      <w:r w:rsidR="00997B9D" w:rsidRPr="00D848BB">
        <w:t>’</w:t>
      </w:r>
      <w:r w:rsidR="00997B9D" w:rsidRPr="00D848BB">
        <w:rPr>
          <w:lang w:val="x-none"/>
        </w:rPr>
        <w:t xml:space="preserve"> (</w:t>
      </w:r>
      <w:r w:rsidR="00997B9D" w:rsidRPr="00D848BB">
        <w:rPr>
          <w:i/>
          <w:lang w:val="x-none"/>
        </w:rPr>
        <w:t>People v Hayes</w:t>
      </w:r>
      <w:r w:rsidR="00997B9D" w:rsidRPr="00D848BB">
        <w:rPr>
          <w:iCs/>
          <w:lang w:val="x-none"/>
        </w:rPr>
        <w:t>,</w:t>
      </w:r>
      <w:r w:rsidR="00997B9D" w:rsidRPr="00D848BB">
        <w:rPr>
          <w:i/>
        </w:rPr>
        <w:t xml:space="preserve"> </w:t>
      </w:r>
      <w:r w:rsidR="00997B9D" w:rsidRPr="00D848BB">
        <w:rPr>
          <w:lang w:val="x-none"/>
        </w:rPr>
        <w:t>17 NY3d 46,</w:t>
      </w:r>
      <w:r w:rsidR="00997B9D" w:rsidRPr="00D848BB">
        <w:t xml:space="preserve"> </w:t>
      </w:r>
      <w:r w:rsidR="00997B9D" w:rsidRPr="00D848BB">
        <w:rPr>
          <w:lang w:val="x-none"/>
        </w:rPr>
        <w:t>53</w:t>
      </w:r>
      <w:r w:rsidR="00997B9D" w:rsidRPr="00D848BB">
        <w:t xml:space="preserve"> </w:t>
      </w:r>
      <w:r w:rsidR="00997B9D" w:rsidRPr="00D848BB">
        <w:rPr>
          <w:lang w:val="x-none"/>
        </w:rPr>
        <w:t>[2011]</w:t>
      </w:r>
      <w:r w:rsidR="00997B9D" w:rsidRPr="00D848BB">
        <w:t xml:space="preserve"> . . . ), </w:t>
      </w:r>
      <w:r w:rsidR="00997B9D" w:rsidRPr="00D848BB">
        <w:rPr>
          <w:lang w:val="x-none"/>
        </w:rPr>
        <w:t>a trial court must not apply</w:t>
      </w:r>
      <w:r w:rsidR="00997B9D" w:rsidRPr="00D848BB">
        <w:t xml:space="preserve"> </w:t>
      </w:r>
      <w:r w:rsidR="00997B9D" w:rsidRPr="00D848BB">
        <w:rPr>
          <w:lang w:val="x-none"/>
        </w:rPr>
        <w:t xml:space="preserve">the rules </w:t>
      </w:r>
      <w:r w:rsidR="00997B9D" w:rsidRPr="00D848BB">
        <w:t>‘</w:t>
      </w:r>
      <w:r w:rsidR="00997B9D" w:rsidRPr="00D848BB">
        <w:rPr>
          <w:lang w:val="x-none"/>
        </w:rPr>
        <w:t>mechanistically to defeat the ends of justice</w:t>
      </w:r>
      <w:r w:rsidR="00997B9D" w:rsidRPr="00D848BB">
        <w:t>’</w:t>
      </w:r>
      <w:r w:rsidR="00997B9D" w:rsidRPr="00D848BB">
        <w:rPr>
          <w:lang w:val="x-none"/>
        </w:rPr>
        <w:t xml:space="preserve"> (</w:t>
      </w:r>
      <w:r w:rsidR="00997B9D" w:rsidRPr="00D848BB">
        <w:rPr>
          <w:i/>
          <w:lang w:val="x-none"/>
        </w:rPr>
        <w:t>Chambers v Mississippi</w:t>
      </w:r>
      <w:r w:rsidR="00997B9D" w:rsidRPr="00D848BB">
        <w:rPr>
          <w:iCs/>
          <w:lang w:val="x-none"/>
        </w:rPr>
        <w:t>,</w:t>
      </w:r>
      <w:r w:rsidR="00997B9D" w:rsidRPr="00D848BB">
        <w:rPr>
          <w:i/>
          <w:lang w:val="x-none"/>
        </w:rPr>
        <w:t xml:space="preserve"> </w:t>
      </w:r>
      <w:r w:rsidR="00997B9D" w:rsidRPr="00D848BB">
        <w:rPr>
          <w:lang w:val="x-none"/>
        </w:rPr>
        <w:t>410</w:t>
      </w:r>
      <w:r w:rsidR="00997B9D" w:rsidRPr="00D848BB">
        <w:t xml:space="preserve"> </w:t>
      </w:r>
      <w:r w:rsidR="00997B9D" w:rsidRPr="00D848BB">
        <w:rPr>
          <w:lang w:val="x-none"/>
        </w:rPr>
        <w:t>US 284, 302 [1973])</w:t>
      </w:r>
      <w:r w:rsidR="00997B9D" w:rsidRPr="00D848BB">
        <w:t>” (</w:t>
      </w:r>
      <w:r w:rsidR="00997B9D" w:rsidRPr="00D848BB">
        <w:rPr>
          <w:i/>
          <w:iCs/>
        </w:rPr>
        <w:t>id</w:t>
      </w:r>
      <w:r w:rsidR="00997B9D" w:rsidRPr="00D848BB">
        <w:t>. at 164</w:t>
      </w:r>
      <w:r w:rsidR="00362A80" w:rsidRPr="00D848BB">
        <w:t xml:space="preserve">; </w:t>
      </w:r>
      <w:r w:rsidR="00362A80" w:rsidRPr="00D848BB">
        <w:rPr>
          <w:i/>
          <w:iCs/>
        </w:rPr>
        <w:t>s</w:t>
      </w:r>
      <w:r w:rsidR="0016126B" w:rsidRPr="00D848BB">
        <w:rPr>
          <w:i/>
          <w:iCs/>
        </w:rPr>
        <w:t>ee</w:t>
      </w:r>
      <w:r w:rsidR="0016126B" w:rsidRPr="00D848BB">
        <w:t xml:space="preserve"> </w:t>
      </w:r>
      <w:r w:rsidR="00C26EF2"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Oddone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, 22 NY3d 369, 377 [2013]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 [“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technical limitations on the impeachment of witnesses must sometimes give way, in a criminal case, to a defendant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s right to a fair trial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” </w:t>
      </w:r>
      <w:r w:rsidR="00FD24DF" w:rsidRPr="00D848BB">
        <w:rPr>
          <w:rFonts w:eastAsia="Times New Roman"/>
          <w:color w:val="000000"/>
          <w:spacing w:val="0"/>
          <w14:ligatures w14:val="none"/>
        </w:rPr>
        <w:t>(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citing </w:t>
      </w:r>
      <w:r w:rsidR="00C26EF2" w:rsidRPr="00D848BB">
        <w:rPr>
          <w:rFonts w:eastAsia="Times New Roman"/>
          <w:i/>
          <w:iCs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Chambers</w:t>
      </w:r>
      <w:r w:rsidR="00FD24DF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</w:t>
      </w:r>
      <w:r w:rsidR="00362A80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]</w:t>
      </w:r>
      <w:r w:rsidR="0022771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).</w:t>
      </w:r>
    </w:p>
    <w:p w14:paraId="70D8FE01" w14:textId="3D9610FE" w:rsidR="00612A7B" w:rsidRPr="00D848BB" w:rsidRDefault="00612A7B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</w:p>
    <w:p w14:paraId="0355F38B" w14:textId="7954DB47" w:rsidR="000C77DE" w:rsidRPr="00D848BB" w:rsidRDefault="00BB0FDD" w:rsidP="007B422C">
      <w:pPr>
        <w:shd w:val="clear" w:color="auto" w:fill="FFFFFF"/>
        <w:spacing w:after="0" w:line="276" w:lineRule="auto"/>
        <w:rPr>
          <w:rFonts w:eastAsia="Times New Roman"/>
          <w:spacing w:val="0"/>
          <w14:ligatures w14:val="none"/>
        </w:rPr>
      </w:pPr>
      <w:r w:rsidRPr="00D848BB">
        <w:rPr>
          <w:rFonts w:eastAsia="Times New Roman"/>
          <w:color w:val="000000"/>
          <w:spacing w:val="0"/>
          <w14:ligatures w14:val="none"/>
        </w:rPr>
        <w:tab/>
      </w:r>
      <w:r w:rsidRPr="00D848BB">
        <w:rPr>
          <w:rFonts w:eastAsia="Times New Roman"/>
          <w:spacing w:val="0"/>
          <w14:ligatures w14:val="none"/>
        </w:rPr>
        <w:t xml:space="preserve">Following </w:t>
      </w:r>
      <w:r w:rsidR="00EE6258" w:rsidRPr="00D848BB">
        <w:rPr>
          <w:rFonts w:eastAsia="Times New Roman"/>
          <w:i/>
          <w:iCs/>
          <w:spacing w:val="0"/>
          <w14:ligatures w14:val="none"/>
        </w:rPr>
        <w:t>Deverow</w:t>
      </w:r>
      <w:r w:rsidR="00EE6258" w:rsidRPr="00D848BB">
        <w:rPr>
          <w:rFonts w:eastAsia="Times New Roman"/>
          <w:spacing w:val="0"/>
          <w14:ligatures w14:val="none"/>
        </w:rPr>
        <w:t xml:space="preserve">, </w:t>
      </w:r>
      <w:r w:rsidR="00700BBB" w:rsidRPr="00D848BB">
        <w:rPr>
          <w:rFonts w:eastAsia="Times New Roman"/>
          <w:i/>
          <w:iCs/>
          <w:spacing w:val="0"/>
          <w:bdr w:val="none" w:sz="0" w:space="0" w:color="auto" w:frame="1"/>
          <w14:ligatures w14:val="none"/>
        </w:rPr>
        <w:t>People v Cerd</w:t>
      </w:r>
      <w:r w:rsidR="009B53D0" w:rsidRPr="00D848BB">
        <w:rPr>
          <w:rFonts w:eastAsia="Times New Roman"/>
          <w:i/>
          <w:iCs/>
          <w:spacing w:val="0"/>
          <w:bdr w:val="none" w:sz="0" w:space="0" w:color="auto" w:frame="1"/>
          <w14:ligatures w14:val="none"/>
        </w:rPr>
        <w:t xml:space="preserve">a </w:t>
      </w:r>
      <w:r w:rsidR="00774843" w:rsidRPr="00D848BB">
        <w:rPr>
          <w:rFonts w:eastAsia="Times New Roman"/>
          <w:spacing w:val="0"/>
          <w14:ligatures w14:val="none"/>
        </w:rPr>
        <w:t>(</w:t>
      </w:r>
      <w:r w:rsidR="00700BBB" w:rsidRPr="00D848BB">
        <w:rPr>
          <w:rFonts w:eastAsia="Times New Roman"/>
          <w:spacing w:val="0"/>
          <w14:ligatures w14:val="none"/>
        </w:rPr>
        <w:t>40 NY3d 369, 371</w:t>
      </w:r>
      <w:r w:rsidR="0040117A" w:rsidRPr="00D848BB">
        <w:rPr>
          <w:rFonts w:eastAsia="Times New Roman"/>
          <w:spacing w:val="0"/>
          <w14:ligatures w14:val="none"/>
        </w:rPr>
        <w:t>, 377</w:t>
      </w:r>
      <w:r w:rsidR="00700BBB" w:rsidRPr="00D848BB">
        <w:rPr>
          <w:rFonts w:eastAsia="Times New Roman"/>
          <w:spacing w:val="0"/>
          <w14:ligatures w14:val="none"/>
        </w:rPr>
        <w:t xml:space="preserve"> [2023]</w:t>
      </w:r>
      <w:r w:rsidR="00774843" w:rsidRPr="00D848BB">
        <w:rPr>
          <w:rFonts w:eastAsia="Times New Roman"/>
          <w:spacing w:val="0"/>
          <w14:ligatures w14:val="none"/>
        </w:rPr>
        <w:t>)</w:t>
      </w:r>
      <w:r w:rsidR="00EE6258" w:rsidRPr="00D848BB">
        <w:rPr>
          <w:rFonts w:eastAsia="Times New Roman"/>
          <w:spacing w:val="0"/>
          <w14:ligatures w14:val="none"/>
        </w:rPr>
        <w:t xml:space="preserve"> </w:t>
      </w:r>
      <w:r w:rsidR="002643A1" w:rsidRPr="00D848BB">
        <w:rPr>
          <w:rFonts w:eastAsia="Times New Roman"/>
          <w:spacing w:val="0"/>
          <w14:ligatures w14:val="none"/>
        </w:rPr>
        <w:t xml:space="preserve">held that the “exclusion of forensic evidence” </w:t>
      </w:r>
      <w:r w:rsidR="00E846FB" w:rsidRPr="00D848BB">
        <w:rPr>
          <w:rFonts w:eastAsia="Times New Roman"/>
          <w:spacing w:val="0"/>
          <w14:ligatures w14:val="none"/>
        </w:rPr>
        <w:t xml:space="preserve">under the interest of justice exception </w:t>
      </w:r>
      <w:r w:rsidR="009A3759" w:rsidRPr="00D848BB">
        <w:rPr>
          <w:rFonts w:eastAsia="Times New Roman"/>
          <w:spacing w:val="0"/>
          <w14:ligatures w14:val="none"/>
        </w:rPr>
        <w:t xml:space="preserve">of the Rape Shield Law </w:t>
      </w:r>
      <w:r w:rsidR="00A765DD" w:rsidRPr="00D848BB">
        <w:rPr>
          <w:rFonts w:eastAsia="Times New Roman"/>
          <w:spacing w:val="0"/>
          <w14:ligatures w14:val="none"/>
        </w:rPr>
        <w:t xml:space="preserve">erroneously </w:t>
      </w:r>
      <w:r w:rsidR="009A3759" w:rsidRPr="00D848BB">
        <w:rPr>
          <w:rFonts w:eastAsia="Times New Roman"/>
          <w:spacing w:val="0"/>
          <w14:ligatures w14:val="none"/>
        </w:rPr>
        <w:t xml:space="preserve">deprived the defendant </w:t>
      </w:r>
      <w:r w:rsidR="00185C47" w:rsidRPr="00D848BB">
        <w:rPr>
          <w:rFonts w:eastAsia="Times New Roman"/>
          <w:spacing w:val="0"/>
          <w14:ligatures w14:val="none"/>
        </w:rPr>
        <w:t xml:space="preserve">of the constitutional right to present a defense, </w:t>
      </w:r>
      <w:r w:rsidR="00185C47" w:rsidRPr="00D848BB">
        <w:rPr>
          <w:kern w:val="2"/>
          <w:shd w:val="clear" w:color="auto" w:fill="FFFFFF"/>
        </w:rPr>
        <w:t>given that the proffered evidence provided an “alternative, innocent explanation for the cause of the [complainant’s] identified injuries and bears on the issue of guilt or innocence.”</w:t>
      </w:r>
    </w:p>
    <w:p w14:paraId="4F51A7A7" w14:textId="467F8FD7" w:rsidR="002651DE" w:rsidRDefault="002651DE" w:rsidP="007B422C">
      <w:pPr>
        <w:spacing w:after="0" w:line="276" w:lineRule="auto"/>
      </w:pPr>
    </w:p>
    <w:p w14:paraId="0580059B" w14:textId="7633A838" w:rsidR="00AD1E31" w:rsidRPr="00F309D5" w:rsidRDefault="00AD1E31" w:rsidP="00AD1E31">
      <w:pPr>
        <w:shd w:val="clear" w:color="auto" w:fill="FFFFFF"/>
        <w:spacing w:line="320" w:lineRule="atLeast"/>
        <w:ind w:firstLine="720"/>
        <w:rPr>
          <w:rFonts w:eastAsia="Times New Roman"/>
          <w14:ligatures w14:val="none"/>
        </w:rPr>
      </w:pPr>
      <w:r w:rsidRPr="00F309D5">
        <w:t xml:space="preserve">In </w:t>
      </w:r>
      <w:r w:rsidRPr="00F309D5">
        <w:rPr>
          <w:rFonts w:eastAsia="Times New Roman"/>
          <w:i/>
          <w:iCs/>
          <w:bdr w:val="none" w:sz="0" w:space="0" w:color="auto" w:frame="1"/>
          <w14:ligatures w14:val="none"/>
        </w:rPr>
        <w:t xml:space="preserve">People v </w:t>
      </w:r>
      <w:r w:rsidRPr="00EC1F0E">
        <w:rPr>
          <w:rFonts w:eastAsia="Times New Roman"/>
          <w:i/>
          <w:iCs/>
          <w:bdr w:val="none" w:sz="0" w:space="0" w:color="auto" w:frame="1"/>
          <w14:ligatures w14:val="none"/>
        </w:rPr>
        <w:t>Dixon</w:t>
      </w:r>
      <w:r w:rsidRPr="00EC1F0E">
        <w:rPr>
          <w:rFonts w:eastAsia="Times New Roman"/>
          <w14:ligatures w14:val="none"/>
        </w:rPr>
        <w:t xml:space="preserve">, </w:t>
      </w:r>
      <w:r w:rsidR="00FA7162">
        <w:rPr>
          <w:rFonts w:eastAsia="Times New Roman"/>
          <w14:ligatures w14:val="none"/>
        </w:rPr>
        <w:t>(</w:t>
      </w:r>
      <w:r w:rsidR="00EC1F0E" w:rsidRPr="00EC1F0E">
        <w:rPr>
          <w:rFonts w:eastAsia="Times New Roman"/>
          <w:color w:val="000000"/>
          <w14:ligatures w14:val="none"/>
        </w:rPr>
        <w:t>42 NY3d 609</w:t>
      </w:r>
      <w:r w:rsidR="00FA7162">
        <w:rPr>
          <w:rFonts w:eastAsia="Times New Roman"/>
          <w:color w:val="000000"/>
          <w14:ligatures w14:val="none"/>
        </w:rPr>
        <w:t>, 618</w:t>
      </w:r>
      <w:r w:rsidR="003A32EB" w:rsidRPr="00EC1F0E">
        <w:rPr>
          <w:rFonts w:eastAsia="Times New Roman"/>
          <w14:ligatures w14:val="none"/>
        </w:rPr>
        <w:t xml:space="preserve"> </w:t>
      </w:r>
      <w:r w:rsidRPr="00EC1F0E">
        <w:rPr>
          <w:rFonts w:eastAsia="Times New Roman"/>
          <w14:ligatures w14:val="none"/>
        </w:rPr>
        <w:t>[2024]</w:t>
      </w:r>
      <w:r w:rsidR="00FA7162">
        <w:rPr>
          <w:rFonts w:eastAsia="Times New Roman"/>
          <w14:ligatures w14:val="none"/>
        </w:rPr>
        <w:t>)</w:t>
      </w:r>
      <w:r w:rsidRPr="00EC1F0E">
        <w:rPr>
          <w:rFonts w:eastAsia="Times New Roman"/>
          <w14:ligatures w14:val="none"/>
        </w:rPr>
        <w:t>, the</w:t>
      </w:r>
      <w:r w:rsidRPr="00F309D5">
        <w:rPr>
          <w:rFonts w:eastAsia="Times New Roman"/>
          <w14:ligatures w14:val="none"/>
        </w:rPr>
        <w:t xml:space="preserve"> Court noted that “the People's monitoring of an incarcerated pro se defendant's jail phone calls may have a chilling effect on the defendant's trial preparation that threatens the right to present a defense--particularly if the People are able to make use of the information in the calls in the pending trial.” On the facts of </w:t>
      </w:r>
      <w:r w:rsidRPr="00F309D5">
        <w:rPr>
          <w:rFonts w:eastAsia="Times New Roman"/>
          <w:i/>
          <w:iCs/>
          <w14:ligatures w14:val="none"/>
        </w:rPr>
        <w:t>Dixon</w:t>
      </w:r>
      <w:r w:rsidRPr="00F309D5">
        <w:rPr>
          <w:rFonts w:eastAsia="Times New Roman"/>
          <w14:ligatures w14:val="none"/>
        </w:rPr>
        <w:t>, however, the Court determined “any chilling effect here was negligible” and not a constitutional violation.</w:t>
      </w:r>
    </w:p>
    <w:p w14:paraId="19D89CC6" w14:textId="77777777" w:rsidR="00B42363" w:rsidRDefault="00B42363" w:rsidP="007B422C">
      <w:pPr>
        <w:spacing w:after="0" w:line="276" w:lineRule="auto"/>
      </w:pPr>
    </w:p>
    <w:sectPr w:rsidR="00B42363" w:rsidSect="00D848BB">
      <w:footerReference w:type="default" r:id="rId7"/>
      <w:type w:val="continuous"/>
      <w:pgSz w:w="12240" w:h="15840" w:code="1"/>
      <w:pgMar w:top="1440" w:right="2160" w:bottom="1440" w:left="216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6282" w14:textId="77777777" w:rsidR="005D0D65" w:rsidRDefault="005D0D65" w:rsidP="007336F0">
      <w:pPr>
        <w:spacing w:after="0" w:line="240" w:lineRule="auto"/>
      </w:pPr>
      <w:r>
        <w:separator/>
      </w:r>
    </w:p>
  </w:endnote>
  <w:endnote w:type="continuationSeparator" w:id="0">
    <w:p w14:paraId="787B65AA" w14:textId="77777777" w:rsidR="005D0D65" w:rsidRDefault="005D0D65" w:rsidP="0073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698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70EFA" w14:textId="71FB143D" w:rsidR="00B0013D" w:rsidRDefault="00B001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716E" w14:textId="77777777" w:rsidR="005D0D65" w:rsidRDefault="005D0D65" w:rsidP="007336F0">
      <w:pPr>
        <w:spacing w:after="0" w:line="240" w:lineRule="auto"/>
      </w:pPr>
      <w:r>
        <w:separator/>
      </w:r>
    </w:p>
  </w:footnote>
  <w:footnote w:type="continuationSeparator" w:id="0">
    <w:p w14:paraId="584F00CC" w14:textId="77777777" w:rsidR="005D0D65" w:rsidRDefault="005D0D65" w:rsidP="0073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9BA"/>
    <w:multiLevelType w:val="multilevel"/>
    <w:tmpl w:val="DEAC0FC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A44"/>
    <w:multiLevelType w:val="hybridMultilevel"/>
    <w:tmpl w:val="2526840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0C618D"/>
    <w:multiLevelType w:val="hybridMultilevel"/>
    <w:tmpl w:val="F7867964"/>
    <w:lvl w:ilvl="0" w:tplc="6B5ABC7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2696E"/>
    <w:multiLevelType w:val="hybridMultilevel"/>
    <w:tmpl w:val="9996AD12"/>
    <w:lvl w:ilvl="0" w:tplc="81CABA2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C2648D"/>
    <w:multiLevelType w:val="hybridMultilevel"/>
    <w:tmpl w:val="675C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73247">
    <w:abstractNumId w:val="4"/>
  </w:num>
  <w:num w:numId="2" w16cid:durableId="1829855836">
    <w:abstractNumId w:val="2"/>
  </w:num>
  <w:num w:numId="3" w16cid:durableId="153496457">
    <w:abstractNumId w:val="1"/>
  </w:num>
  <w:num w:numId="4" w16cid:durableId="156842325">
    <w:abstractNumId w:val="3"/>
  </w:num>
  <w:num w:numId="5" w16cid:durableId="171554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5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8E"/>
    <w:rsid w:val="00020A56"/>
    <w:rsid w:val="00022B25"/>
    <w:rsid w:val="00030BBF"/>
    <w:rsid w:val="000336B8"/>
    <w:rsid w:val="000371E6"/>
    <w:rsid w:val="000509E8"/>
    <w:rsid w:val="0005704A"/>
    <w:rsid w:val="00064F17"/>
    <w:rsid w:val="00067D25"/>
    <w:rsid w:val="000715B3"/>
    <w:rsid w:val="000726F9"/>
    <w:rsid w:val="00084827"/>
    <w:rsid w:val="000A06CA"/>
    <w:rsid w:val="000A7975"/>
    <w:rsid w:val="000B1C78"/>
    <w:rsid w:val="000C448D"/>
    <w:rsid w:val="000C6E20"/>
    <w:rsid w:val="000C77DE"/>
    <w:rsid w:val="000F781F"/>
    <w:rsid w:val="00107997"/>
    <w:rsid w:val="00123BED"/>
    <w:rsid w:val="00126343"/>
    <w:rsid w:val="001263AC"/>
    <w:rsid w:val="0012758E"/>
    <w:rsid w:val="00135605"/>
    <w:rsid w:val="0013618D"/>
    <w:rsid w:val="00142DAD"/>
    <w:rsid w:val="00150568"/>
    <w:rsid w:val="00151E63"/>
    <w:rsid w:val="0016126B"/>
    <w:rsid w:val="00161EA5"/>
    <w:rsid w:val="0017027E"/>
    <w:rsid w:val="00173274"/>
    <w:rsid w:val="00184D07"/>
    <w:rsid w:val="00185C47"/>
    <w:rsid w:val="00191932"/>
    <w:rsid w:val="00195EDB"/>
    <w:rsid w:val="001B2320"/>
    <w:rsid w:val="001B3FF9"/>
    <w:rsid w:val="001C2648"/>
    <w:rsid w:val="001C4458"/>
    <w:rsid w:val="001C72FB"/>
    <w:rsid w:val="001E5219"/>
    <w:rsid w:val="001E6FAC"/>
    <w:rsid w:val="002033DB"/>
    <w:rsid w:val="0021482F"/>
    <w:rsid w:val="00223AF8"/>
    <w:rsid w:val="0022525A"/>
    <w:rsid w:val="0022771A"/>
    <w:rsid w:val="00233181"/>
    <w:rsid w:val="00234CAF"/>
    <w:rsid w:val="00244E6F"/>
    <w:rsid w:val="002522A8"/>
    <w:rsid w:val="00254815"/>
    <w:rsid w:val="00254D2D"/>
    <w:rsid w:val="002643A1"/>
    <w:rsid w:val="0026483D"/>
    <w:rsid w:val="002651DE"/>
    <w:rsid w:val="00271926"/>
    <w:rsid w:val="00273C2A"/>
    <w:rsid w:val="00275ADC"/>
    <w:rsid w:val="00280826"/>
    <w:rsid w:val="002858D6"/>
    <w:rsid w:val="002860E0"/>
    <w:rsid w:val="0029763B"/>
    <w:rsid w:val="002A308A"/>
    <w:rsid w:val="002B0B23"/>
    <w:rsid w:val="002B1189"/>
    <w:rsid w:val="002C7556"/>
    <w:rsid w:val="002D48B3"/>
    <w:rsid w:val="002E5248"/>
    <w:rsid w:val="002F005C"/>
    <w:rsid w:val="002F30BC"/>
    <w:rsid w:val="002F3E14"/>
    <w:rsid w:val="00301472"/>
    <w:rsid w:val="00302DCD"/>
    <w:rsid w:val="003035A9"/>
    <w:rsid w:val="00303DE5"/>
    <w:rsid w:val="003066ED"/>
    <w:rsid w:val="00311379"/>
    <w:rsid w:val="00312345"/>
    <w:rsid w:val="00322047"/>
    <w:rsid w:val="00333A9B"/>
    <w:rsid w:val="0034307F"/>
    <w:rsid w:val="00345BFF"/>
    <w:rsid w:val="00355FF0"/>
    <w:rsid w:val="00362A80"/>
    <w:rsid w:val="00370EE9"/>
    <w:rsid w:val="003744A6"/>
    <w:rsid w:val="0038130C"/>
    <w:rsid w:val="0038267B"/>
    <w:rsid w:val="00384329"/>
    <w:rsid w:val="003858F1"/>
    <w:rsid w:val="00391F99"/>
    <w:rsid w:val="00393B81"/>
    <w:rsid w:val="003A14E8"/>
    <w:rsid w:val="003A32EB"/>
    <w:rsid w:val="003A4F5F"/>
    <w:rsid w:val="003C29FA"/>
    <w:rsid w:val="003D3E96"/>
    <w:rsid w:val="003D785A"/>
    <w:rsid w:val="003F3731"/>
    <w:rsid w:val="003F37EC"/>
    <w:rsid w:val="003F4B77"/>
    <w:rsid w:val="00400136"/>
    <w:rsid w:val="00400FA8"/>
    <w:rsid w:val="0040117A"/>
    <w:rsid w:val="0040522E"/>
    <w:rsid w:val="0041024E"/>
    <w:rsid w:val="004105D9"/>
    <w:rsid w:val="00430074"/>
    <w:rsid w:val="00432AB0"/>
    <w:rsid w:val="00435D3C"/>
    <w:rsid w:val="0043671A"/>
    <w:rsid w:val="004626BC"/>
    <w:rsid w:val="00476FB8"/>
    <w:rsid w:val="0048491C"/>
    <w:rsid w:val="00493A3A"/>
    <w:rsid w:val="004A6DE3"/>
    <w:rsid w:val="004B0840"/>
    <w:rsid w:val="004B24E8"/>
    <w:rsid w:val="004B250C"/>
    <w:rsid w:val="004C52C2"/>
    <w:rsid w:val="004D5179"/>
    <w:rsid w:val="004D6FE3"/>
    <w:rsid w:val="004E0A57"/>
    <w:rsid w:val="004E4365"/>
    <w:rsid w:val="004F028C"/>
    <w:rsid w:val="004F159D"/>
    <w:rsid w:val="004F2FDA"/>
    <w:rsid w:val="004F5F57"/>
    <w:rsid w:val="004F6D27"/>
    <w:rsid w:val="00502812"/>
    <w:rsid w:val="00514195"/>
    <w:rsid w:val="00523404"/>
    <w:rsid w:val="0052483E"/>
    <w:rsid w:val="0053180A"/>
    <w:rsid w:val="00543547"/>
    <w:rsid w:val="00543F66"/>
    <w:rsid w:val="005456C4"/>
    <w:rsid w:val="00556222"/>
    <w:rsid w:val="00556C56"/>
    <w:rsid w:val="00570E4B"/>
    <w:rsid w:val="0057361E"/>
    <w:rsid w:val="005773BF"/>
    <w:rsid w:val="00577E49"/>
    <w:rsid w:val="00593884"/>
    <w:rsid w:val="005A15FE"/>
    <w:rsid w:val="005A4668"/>
    <w:rsid w:val="005C110E"/>
    <w:rsid w:val="005C6D1B"/>
    <w:rsid w:val="005D0D65"/>
    <w:rsid w:val="005D4F00"/>
    <w:rsid w:val="005E1F4E"/>
    <w:rsid w:val="005E7988"/>
    <w:rsid w:val="005F1B88"/>
    <w:rsid w:val="005F3183"/>
    <w:rsid w:val="005F3CB3"/>
    <w:rsid w:val="00610F58"/>
    <w:rsid w:val="006121DD"/>
    <w:rsid w:val="00612A7B"/>
    <w:rsid w:val="00613442"/>
    <w:rsid w:val="00613920"/>
    <w:rsid w:val="00613DA6"/>
    <w:rsid w:val="00633F43"/>
    <w:rsid w:val="00635CD4"/>
    <w:rsid w:val="00636A98"/>
    <w:rsid w:val="00636FDE"/>
    <w:rsid w:val="00641356"/>
    <w:rsid w:val="006431B9"/>
    <w:rsid w:val="0064449E"/>
    <w:rsid w:val="00646F3E"/>
    <w:rsid w:val="006470B9"/>
    <w:rsid w:val="0064793F"/>
    <w:rsid w:val="00650E0A"/>
    <w:rsid w:val="0066693F"/>
    <w:rsid w:val="00673A88"/>
    <w:rsid w:val="00684EA8"/>
    <w:rsid w:val="00692975"/>
    <w:rsid w:val="00692CF3"/>
    <w:rsid w:val="006A1C3F"/>
    <w:rsid w:val="006B7884"/>
    <w:rsid w:val="006C17BB"/>
    <w:rsid w:val="006C4010"/>
    <w:rsid w:val="006C54AB"/>
    <w:rsid w:val="006D1A16"/>
    <w:rsid w:val="006D3D1C"/>
    <w:rsid w:val="006D561B"/>
    <w:rsid w:val="006E1CDF"/>
    <w:rsid w:val="006F077C"/>
    <w:rsid w:val="006F597F"/>
    <w:rsid w:val="006F6B73"/>
    <w:rsid w:val="00700BBB"/>
    <w:rsid w:val="00713569"/>
    <w:rsid w:val="00715527"/>
    <w:rsid w:val="00722A9C"/>
    <w:rsid w:val="007336F0"/>
    <w:rsid w:val="00734D0D"/>
    <w:rsid w:val="00743282"/>
    <w:rsid w:val="00754727"/>
    <w:rsid w:val="00767AD3"/>
    <w:rsid w:val="00772A9D"/>
    <w:rsid w:val="00774843"/>
    <w:rsid w:val="007774EB"/>
    <w:rsid w:val="00784761"/>
    <w:rsid w:val="00790AB1"/>
    <w:rsid w:val="007B09D6"/>
    <w:rsid w:val="007B422C"/>
    <w:rsid w:val="007B70FA"/>
    <w:rsid w:val="007C0BB3"/>
    <w:rsid w:val="007C6D76"/>
    <w:rsid w:val="007D6DA2"/>
    <w:rsid w:val="007E2010"/>
    <w:rsid w:val="007E2145"/>
    <w:rsid w:val="007E2A3C"/>
    <w:rsid w:val="007E2D74"/>
    <w:rsid w:val="007E68DC"/>
    <w:rsid w:val="007E7481"/>
    <w:rsid w:val="007E7E78"/>
    <w:rsid w:val="007F1BF1"/>
    <w:rsid w:val="007F574D"/>
    <w:rsid w:val="00812AB0"/>
    <w:rsid w:val="00830EFB"/>
    <w:rsid w:val="00831E9E"/>
    <w:rsid w:val="00832875"/>
    <w:rsid w:val="00833718"/>
    <w:rsid w:val="00837EB1"/>
    <w:rsid w:val="00841185"/>
    <w:rsid w:val="008609F3"/>
    <w:rsid w:val="008753D6"/>
    <w:rsid w:val="00885B24"/>
    <w:rsid w:val="008872D3"/>
    <w:rsid w:val="00892391"/>
    <w:rsid w:val="008A1B38"/>
    <w:rsid w:val="008A71FD"/>
    <w:rsid w:val="008B2A10"/>
    <w:rsid w:val="008B3114"/>
    <w:rsid w:val="008B36E4"/>
    <w:rsid w:val="008B75EE"/>
    <w:rsid w:val="008D103A"/>
    <w:rsid w:val="008E5BB8"/>
    <w:rsid w:val="008F4156"/>
    <w:rsid w:val="00900A39"/>
    <w:rsid w:val="00903D37"/>
    <w:rsid w:val="009117E4"/>
    <w:rsid w:val="0092301B"/>
    <w:rsid w:val="00923AB1"/>
    <w:rsid w:val="00926B1C"/>
    <w:rsid w:val="00927F4D"/>
    <w:rsid w:val="00931564"/>
    <w:rsid w:val="00937072"/>
    <w:rsid w:val="00942E3F"/>
    <w:rsid w:val="00970008"/>
    <w:rsid w:val="009708DA"/>
    <w:rsid w:val="0097178E"/>
    <w:rsid w:val="009810B7"/>
    <w:rsid w:val="009836C6"/>
    <w:rsid w:val="00987921"/>
    <w:rsid w:val="0099116E"/>
    <w:rsid w:val="0099468A"/>
    <w:rsid w:val="00995EF3"/>
    <w:rsid w:val="00997B9D"/>
    <w:rsid w:val="009A3759"/>
    <w:rsid w:val="009B06D1"/>
    <w:rsid w:val="009B397E"/>
    <w:rsid w:val="009B53D0"/>
    <w:rsid w:val="009C7BE5"/>
    <w:rsid w:val="009D5EBE"/>
    <w:rsid w:val="009E0348"/>
    <w:rsid w:val="009E6219"/>
    <w:rsid w:val="009E650E"/>
    <w:rsid w:val="009F24FF"/>
    <w:rsid w:val="009F45AE"/>
    <w:rsid w:val="009F465E"/>
    <w:rsid w:val="009F4B90"/>
    <w:rsid w:val="00A13E99"/>
    <w:rsid w:val="00A21386"/>
    <w:rsid w:val="00A23C11"/>
    <w:rsid w:val="00A305E4"/>
    <w:rsid w:val="00A32D43"/>
    <w:rsid w:val="00A32E69"/>
    <w:rsid w:val="00A34570"/>
    <w:rsid w:val="00A35DE9"/>
    <w:rsid w:val="00A41164"/>
    <w:rsid w:val="00A55D92"/>
    <w:rsid w:val="00A57297"/>
    <w:rsid w:val="00A62AEA"/>
    <w:rsid w:val="00A649A0"/>
    <w:rsid w:val="00A700D0"/>
    <w:rsid w:val="00A71BDF"/>
    <w:rsid w:val="00A750F0"/>
    <w:rsid w:val="00A765DD"/>
    <w:rsid w:val="00A91677"/>
    <w:rsid w:val="00AA0884"/>
    <w:rsid w:val="00AB3707"/>
    <w:rsid w:val="00AC71E1"/>
    <w:rsid w:val="00AD1465"/>
    <w:rsid w:val="00AD1E31"/>
    <w:rsid w:val="00AD48FC"/>
    <w:rsid w:val="00AD6C9C"/>
    <w:rsid w:val="00AE19B6"/>
    <w:rsid w:val="00AE74B1"/>
    <w:rsid w:val="00AF0FAD"/>
    <w:rsid w:val="00AF7FA9"/>
    <w:rsid w:val="00B0013D"/>
    <w:rsid w:val="00B02721"/>
    <w:rsid w:val="00B26495"/>
    <w:rsid w:val="00B276AC"/>
    <w:rsid w:val="00B42363"/>
    <w:rsid w:val="00B53FD1"/>
    <w:rsid w:val="00B55E7D"/>
    <w:rsid w:val="00B57736"/>
    <w:rsid w:val="00B6387C"/>
    <w:rsid w:val="00B6400B"/>
    <w:rsid w:val="00B64A75"/>
    <w:rsid w:val="00B71620"/>
    <w:rsid w:val="00B92054"/>
    <w:rsid w:val="00BA3D38"/>
    <w:rsid w:val="00BA7DB3"/>
    <w:rsid w:val="00BB0FDD"/>
    <w:rsid w:val="00BB5390"/>
    <w:rsid w:val="00BE5AC0"/>
    <w:rsid w:val="00BE7030"/>
    <w:rsid w:val="00BF2ABE"/>
    <w:rsid w:val="00C02DF4"/>
    <w:rsid w:val="00C07655"/>
    <w:rsid w:val="00C105FE"/>
    <w:rsid w:val="00C11F5E"/>
    <w:rsid w:val="00C26EF2"/>
    <w:rsid w:val="00C277B4"/>
    <w:rsid w:val="00C31235"/>
    <w:rsid w:val="00C332FF"/>
    <w:rsid w:val="00C4033A"/>
    <w:rsid w:val="00C426B0"/>
    <w:rsid w:val="00C526A6"/>
    <w:rsid w:val="00C53FCD"/>
    <w:rsid w:val="00C61F36"/>
    <w:rsid w:val="00C643C0"/>
    <w:rsid w:val="00C66ACD"/>
    <w:rsid w:val="00C66B77"/>
    <w:rsid w:val="00C72E7C"/>
    <w:rsid w:val="00C77E9B"/>
    <w:rsid w:val="00C8186B"/>
    <w:rsid w:val="00CB2967"/>
    <w:rsid w:val="00CB6F0A"/>
    <w:rsid w:val="00CB7AEC"/>
    <w:rsid w:val="00CC3611"/>
    <w:rsid w:val="00CE3F08"/>
    <w:rsid w:val="00CF1CC7"/>
    <w:rsid w:val="00D15A3B"/>
    <w:rsid w:val="00D238E3"/>
    <w:rsid w:val="00D2483B"/>
    <w:rsid w:val="00D35A37"/>
    <w:rsid w:val="00D42ECC"/>
    <w:rsid w:val="00D470D2"/>
    <w:rsid w:val="00D470F9"/>
    <w:rsid w:val="00D4799F"/>
    <w:rsid w:val="00D517B7"/>
    <w:rsid w:val="00D60FFB"/>
    <w:rsid w:val="00D61C8F"/>
    <w:rsid w:val="00D6380C"/>
    <w:rsid w:val="00D710C5"/>
    <w:rsid w:val="00D848BB"/>
    <w:rsid w:val="00D90A90"/>
    <w:rsid w:val="00D9257A"/>
    <w:rsid w:val="00D970D9"/>
    <w:rsid w:val="00DA29A5"/>
    <w:rsid w:val="00DA3E95"/>
    <w:rsid w:val="00DB2309"/>
    <w:rsid w:val="00DB53BE"/>
    <w:rsid w:val="00DC53A9"/>
    <w:rsid w:val="00DD0CA4"/>
    <w:rsid w:val="00DE614F"/>
    <w:rsid w:val="00DF2988"/>
    <w:rsid w:val="00E024FA"/>
    <w:rsid w:val="00E03BE5"/>
    <w:rsid w:val="00E14619"/>
    <w:rsid w:val="00E2088D"/>
    <w:rsid w:val="00E267AA"/>
    <w:rsid w:val="00E31DAF"/>
    <w:rsid w:val="00E32C2B"/>
    <w:rsid w:val="00E33738"/>
    <w:rsid w:val="00E378ED"/>
    <w:rsid w:val="00E45E78"/>
    <w:rsid w:val="00E46599"/>
    <w:rsid w:val="00E73F1F"/>
    <w:rsid w:val="00E77519"/>
    <w:rsid w:val="00E846FB"/>
    <w:rsid w:val="00E86AE2"/>
    <w:rsid w:val="00E87110"/>
    <w:rsid w:val="00E94D40"/>
    <w:rsid w:val="00E97CAC"/>
    <w:rsid w:val="00EA152B"/>
    <w:rsid w:val="00EB1842"/>
    <w:rsid w:val="00EB1CFA"/>
    <w:rsid w:val="00EB2A65"/>
    <w:rsid w:val="00EB707C"/>
    <w:rsid w:val="00EC1771"/>
    <w:rsid w:val="00EC1F0E"/>
    <w:rsid w:val="00EC3601"/>
    <w:rsid w:val="00EC4AE8"/>
    <w:rsid w:val="00ED1AB8"/>
    <w:rsid w:val="00ED6332"/>
    <w:rsid w:val="00EE6258"/>
    <w:rsid w:val="00EE7B05"/>
    <w:rsid w:val="00EF3C70"/>
    <w:rsid w:val="00EF4C09"/>
    <w:rsid w:val="00F0093B"/>
    <w:rsid w:val="00F060A3"/>
    <w:rsid w:val="00F137C7"/>
    <w:rsid w:val="00F247F8"/>
    <w:rsid w:val="00F309D5"/>
    <w:rsid w:val="00F37790"/>
    <w:rsid w:val="00F42199"/>
    <w:rsid w:val="00F52855"/>
    <w:rsid w:val="00F5763A"/>
    <w:rsid w:val="00F75DB0"/>
    <w:rsid w:val="00F8143B"/>
    <w:rsid w:val="00F81FCD"/>
    <w:rsid w:val="00F837C5"/>
    <w:rsid w:val="00F90C4D"/>
    <w:rsid w:val="00FA0FA1"/>
    <w:rsid w:val="00FA7162"/>
    <w:rsid w:val="00FB25C6"/>
    <w:rsid w:val="00FC4C1D"/>
    <w:rsid w:val="00FC4EB8"/>
    <w:rsid w:val="00FD1BFE"/>
    <w:rsid w:val="00FD24DF"/>
    <w:rsid w:val="00FD5290"/>
    <w:rsid w:val="00FE08FB"/>
    <w:rsid w:val="00FE6BE5"/>
    <w:rsid w:val="00FE6E87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C26B"/>
  <w15:chartTrackingRefBased/>
  <w15:docId w15:val="{70DE7F36-4A25-4B7E-ADFE-E428DDE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10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3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7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99"/>
    <w:qFormat/>
    <w:rsid w:val="00107997"/>
  </w:style>
  <w:style w:type="character" w:customStyle="1" w:styleId="Heading1Char">
    <w:name w:val="Heading 1 Char"/>
    <w:basedOn w:val="DefaultParagraphFont"/>
    <w:link w:val="Heading1"/>
    <w:uiPriority w:val="9"/>
    <w:rsid w:val="0097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7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7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7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78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78E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7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7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7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1E6"/>
    <w:rPr>
      <w:b/>
      <w:bCs/>
      <w:sz w:val="20"/>
      <w:szCs w:val="20"/>
    </w:rPr>
  </w:style>
  <w:style w:type="paragraph" w:customStyle="1" w:styleId="ListParagra">
    <w:name w:val="List Paragra"/>
    <w:uiPriority w:val="99"/>
    <w:rsid w:val="002651DE"/>
    <w:pPr>
      <w:widowControl w:val="0"/>
      <w:autoSpaceDE w:val="0"/>
      <w:autoSpaceDN w:val="0"/>
      <w:adjustRightInd w:val="0"/>
      <w:spacing w:after="159" w:line="258" w:lineRule="auto"/>
      <w:ind w:left="720"/>
    </w:pPr>
    <w:rPr>
      <w:rFonts w:ascii="Calibri" w:eastAsia="Times New Roman" w:hAnsi="Calibri" w:cs="Calibri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51DE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435D3C"/>
    <w:pPr>
      <w:spacing w:line="25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191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8026836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44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99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186997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6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65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870992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860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3394769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921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15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5806579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283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74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8938802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06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32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8417858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  <w:div w:id="204787095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42753218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4859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</w:divsChild>
        </w:div>
      </w:divsChild>
    </w:div>
    <w:div w:id="1734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417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8018288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24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23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206094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44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671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1241953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20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442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2746424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2</cp:revision>
  <cp:lastPrinted>2024-12-11T03:43:00Z</cp:lastPrinted>
  <dcterms:created xsi:type="dcterms:W3CDTF">2025-02-21T18:17:00Z</dcterms:created>
  <dcterms:modified xsi:type="dcterms:W3CDTF">2025-02-21T18:17:00Z</dcterms:modified>
</cp:coreProperties>
</file>