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093FD1" w14:textId="21B5784B" w:rsidR="006C2C2F" w:rsidRPr="00C31D09" w:rsidRDefault="00C31D09" w:rsidP="00C31D09">
      <w:pPr>
        <w:spacing w:before="0"/>
        <w:jc w:val="both"/>
        <w:rPr>
          <w:b/>
          <w:bCs/>
          <w:sz w:val="28"/>
          <w:szCs w:val="28"/>
        </w:rPr>
      </w:pPr>
      <w:bookmarkStart w:id="0" w:name="_Hlk112327798"/>
      <w:bookmarkStart w:id="1" w:name="_Hlk112327783"/>
      <w:bookmarkStart w:id="2" w:name="_Hlk112323439"/>
      <w:r>
        <w:rPr>
          <w:b/>
          <w:bCs/>
          <w:sz w:val="28"/>
          <w:szCs w:val="28"/>
        </w:rPr>
        <w:t xml:space="preserve">4.33 </w:t>
      </w:r>
      <w:r w:rsidR="006C2C2F" w:rsidRPr="00C31D09">
        <w:rPr>
          <w:b/>
          <w:bCs/>
          <w:sz w:val="28"/>
          <w:szCs w:val="28"/>
        </w:rPr>
        <w:t xml:space="preserve">Exception </w:t>
      </w:r>
      <w:r w:rsidR="00B87023" w:rsidRPr="00C31D09">
        <w:rPr>
          <w:b/>
          <w:bCs/>
          <w:sz w:val="28"/>
          <w:szCs w:val="28"/>
        </w:rPr>
        <w:t>or</w:t>
      </w:r>
      <w:r w:rsidR="006C2C2F" w:rsidRPr="00C31D09">
        <w:rPr>
          <w:b/>
          <w:bCs/>
          <w:sz w:val="28"/>
          <w:szCs w:val="28"/>
        </w:rPr>
        <w:t xml:space="preserve"> Proviso</w:t>
      </w:r>
    </w:p>
    <w:p w14:paraId="64E1F12B" w14:textId="519122C0" w:rsidR="006C2C2F" w:rsidRPr="00876921" w:rsidRDefault="006C2C2F" w:rsidP="00876921">
      <w:pPr>
        <w:tabs>
          <w:tab w:val="left" w:pos="6050"/>
        </w:tabs>
        <w:spacing w:before="0"/>
        <w:jc w:val="both"/>
        <w:rPr>
          <w:sz w:val="28"/>
          <w:szCs w:val="28"/>
        </w:rPr>
      </w:pPr>
    </w:p>
    <w:p w14:paraId="4AEDD9F5" w14:textId="57C317D8" w:rsidR="006C2C2F" w:rsidRPr="00876921" w:rsidRDefault="00C31D09" w:rsidP="00C31D09">
      <w:pPr>
        <w:pStyle w:val="ListParagraph"/>
        <w:spacing w:before="0"/>
        <w:ind w:right="720"/>
        <w:jc w:val="both"/>
        <w:rPr>
          <w:b/>
          <w:bCs/>
          <w:sz w:val="28"/>
          <w:szCs w:val="28"/>
        </w:rPr>
      </w:pPr>
      <w:r>
        <w:rPr>
          <w:b/>
          <w:bCs/>
          <w:sz w:val="28"/>
          <w:szCs w:val="28"/>
        </w:rPr>
        <w:t xml:space="preserve">(1) </w:t>
      </w:r>
      <w:r w:rsidR="006C2C2F" w:rsidRPr="00876921">
        <w:rPr>
          <w:b/>
          <w:bCs/>
          <w:sz w:val="28"/>
          <w:szCs w:val="28"/>
        </w:rPr>
        <w:t xml:space="preserve">A statute or administrative rule may provide for the exclusion of liability for an offense. If the People are required to plead the </w:t>
      </w:r>
      <w:bookmarkStart w:id="3" w:name="_Hlk113897863"/>
      <w:r w:rsidR="00232992" w:rsidRPr="00876921">
        <w:rPr>
          <w:b/>
          <w:bCs/>
          <w:sz w:val="28"/>
          <w:szCs w:val="28"/>
        </w:rPr>
        <w:t>inapplicability o</w:t>
      </w:r>
      <w:r w:rsidR="00CD0B1D" w:rsidRPr="00876921">
        <w:rPr>
          <w:b/>
          <w:bCs/>
          <w:sz w:val="28"/>
          <w:szCs w:val="28"/>
        </w:rPr>
        <w:t>f the</w:t>
      </w:r>
      <w:r w:rsidR="00232992" w:rsidRPr="00876921">
        <w:rPr>
          <w:b/>
          <w:bCs/>
          <w:sz w:val="28"/>
          <w:szCs w:val="28"/>
        </w:rPr>
        <w:t xml:space="preserve"> </w:t>
      </w:r>
      <w:bookmarkEnd w:id="3"/>
      <w:r w:rsidR="006C2C2F" w:rsidRPr="00876921">
        <w:rPr>
          <w:b/>
          <w:bCs/>
          <w:sz w:val="28"/>
          <w:szCs w:val="28"/>
        </w:rPr>
        <w:t xml:space="preserve">exclusion and at trial disprove it beyond a reasonable doubt, the exclusion is deemed an “exception.” If the People are not required to plead the </w:t>
      </w:r>
      <w:r w:rsidR="003C18D7" w:rsidRPr="00876921">
        <w:rPr>
          <w:b/>
          <w:bCs/>
          <w:sz w:val="28"/>
          <w:szCs w:val="28"/>
        </w:rPr>
        <w:t xml:space="preserve">inapplicability of the </w:t>
      </w:r>
      <w:r w:rsidR="006C2C2F" w:rsidRPr="00876921">
        <w:rPr>
          <w:b/>
          <w:bCs/>
          <w:sz w:val="28"/>
          <w:szCs w:val="28"/>
        </w:rPr>
        <w:t>exclusion or at trial disprove it unless raised by the defendant, the exclusion is deemed a “proviso.”</w:t>
      </w:r>
    </w:p>
    <w:p w14:paraId="21CF75F4" w14:textId="77777777" w:rsidR="006C2C2F" w:rsidRPr="00876921" w:rsidRDefault="006C2C2F" w:rsidP="00876921">
      <w:pPr>
        <w:spacing w:before="0"/>
        <w:ind w:right="720"/>
        <w:jc w:val="both"/>
        <w:rPr>
          <w:sz w:val="28"/>
          <w:szCs w:val="28"/>
        </w:rPr>
      </w:pPr>
    </w:p>
    <w:p w14:paraId="2EECE556" w14:textId="7B045364" w:rsidR="006C2C2F" w:rsidRPr="00C31D09" w:rsidRDefault="00C31D09" w:rsidP="00C31D09">
      <w:pPr>
        <w:spacing w:before="0"/>
        <w:ind w:left="720" w:right="720"/>
        <w:jc w:val="both"/>
        <w:rPr>
          <w:b/>
          <w:bCs/>
          <w:sz w:val="28"/>
          <w:szCs w:val="28"/>
        </w:rPr>
      </w:pPr>
      <w:bookmarkStart w:id="4" w:name="_Hlk112940342"/>
      <w:r>
        <w:rPr>
          <w:b/>
          <w:bCs/>
          <w:sz w:val="28"/>
          <w:szCs w:val="28"/>
        </w:rPr>
        <w:t xml:space="preserve">(2) </w:t>
      </w:r>
      <w:r w:rsidR="006C2C2F" w:rsidRPr="00C31D09">
        <w:rPr>
          <w:b/>
          <w:bCs/>
          <w:sz w:val="28"/>
          <w:szCs w:val="28"/>
        </w:rPr>
        <w:t xml:space="preserve">When an </w:t>
      </w:r>
      <w:bookmarkStart w:id="5" w:name="_Hlk112323674"/>
      <w:r w:rsidR="006C2C2F" w:rsidRPr="00C31D09">
        <w:rPr>
          <w:b/>
          <w:bCs/>
          <w:sz w:val="28"/>
          <w:szCs w:val="28"/>
        </w:rPr>
        <w:t>exclusion</w:t>
      </w:r>
      <w:bookmarkEnd w:id="5"/>
      <w:r w:rsidR="006C2C2F" w:rsidRPr="00C31D09">
        <w:rPr>
          <w:b/>
          <w:bCs/>
          <w:sz w:val="28"/>
          <w:szCs w:val="28"/>
        </w:rPr>
        <w:t xml:space="preserve"> to liability for an offense </w:t>
      </w:r>
      <w:r w:rsidR="006C2C2F" w:rsidRPr="00C31D09">
        <w:rPr>
          <w:b/>
          <w:bCs/>
          <w:i/>
          <w:iCs/>
          <w:sz w:val="28"/>
          <w:szCs w:val="28"/>
        </w:rPr>
        <w:t>is not specified</w:t>
      </w:r>
      <w:r w:rsidR="006C2C2F" w:rsidRPr="00C31D09">
        <w:rPr>
          <w:b/>
          <w:bCs/>
          <w:sz w:val="28"/>
          <w:szCs w:val="28"/>
        </w:rPr>
        <w:t xml:space="preserve"> in the definition of the offense, absent the expressed intent of the enacting body to the contrary, </w:t>
      </w:r>
      <w:bookmarkStart w:id="6" w:name="_Hlk113359517"/>
      <w:r w:rsidR="006C2C2F" w:rsidRPr="00C31D09">
        <w:rPr>
          <w:b/>
          <w:bCs/>
          <w:sz w:val="28"/>
          <w:szCs w:val="28"/>
        </w:rPr>
        <w:t xml:space="preserve">the exclusion is a “proviso,” and </w:t>
      </w:r>
      <w:bookmarkEnd w:id="6"/>
      <w:r w:rsidR="006C2C2F" w:rsidRPr="00C31D09">
        <w:rPr>
          <w:b/>
          <w:bCs/>
          <w:sz w:val="28"/>
          <w:szCs w:val="28"/>
        </w:rPr>
        <w:t xml:space="preserve">the People are not required to plead the </w:t>
      </w:r>
      <w:r w:rsidR="00CD0B1D" w:rsidRPr="00C31D09">
        <w:rPr>
          <w:b/>
          <w:bCs/>
          <w:sz w:val="28"/>
          <w:szCs w:val="28"/>
        </w:rPr>
        <w:t xml:space="preserve">inapplicability of the </w:t>
      </w:r>
      <w:r w:rsidR="006C2C2F" w:rsidRPr="00C31D09">
        <w:rPr>
          <w:b/>
          <w:bCs/>
          <w:sz w:val="28"/>
          <w:szCs w:val="28"/>
        </w:rPr>
        <w:t>exclusion</w:t>
      </w:r>
      <w:bookmarkEnd w:id="4"/>
      <w:r w:rsidR="006C2C2F" w:rsidRPr="00C31D09">
        <w:rPr>
          <w:b/>
          <w:bCs/>
          <w:sz w:val="28"/>
          <w:szCs w:val="28"/>
        </w:rPr>
        <w:t>; when, however, the exclusion is raised at trial,</w:t>
      </w:r>
      <w:r w:rsidR="006C2C2F" w:rsidRPr="00C31D09">
        <w:rPr>
          <w:sz w:val="28"/>
          <w:szCs w:val="28"/>
        </w:rPr>
        <w:t xml:space="preserve"> </w:t>
      </w:r>
      <w:r w:rsidR="006C2C2F" w:rsidRPr="00C31D09">
        <w:rPr>
          <w:b/>
          <w:bCs/>
          <w:sz w:val="28"/>
          <w:szCs w:val="28"/>
        </w:rPr>
        <w:t>the People must disprove it beyond a reasonable doubt.</w:t>
      </w:r>
    </w:p>
    <w:p w14:paraId="5126E9F6" w14:textId="77777777" w:rsidR="006C2C2F" w:rsidRPr="00C31D09" w:rsidRDefault="006C2C2F" w:rsidP="00C31D09">
      <w:pPr>
        <w:spacing w:before="0"/>
        <w:ind w:right="720"/>
        <w:jc w:val="both"/>
        <w:rPr>
          <w:b/>
          <w:bCs/>
          <w:sz w:val="28"/>
          <w:szCs w:val="28"/>
        </w:rPr>
      </w:pPr>
    </w:p>
    <w:p w14:paraId="5CEA546A" w14:textId="095E5D86" w:rsidR="006C2C2F" w:rsidRPr="00C31D09" w:rsidRDefault="00C31D09" w:rsidP="00C31D09">
      <w:pPr>
        <w:spacing w:before="0"/>
        <w:ind w:left="720" w:right="720"/>
        <w:jc w:val="both"/>
        <w:rPr>
          <w:b/>
          <w:bCs/>
          <w:sz w:val="28"/>
          <w:szCs w:val="28"/>
          <w:lang w:val="en-PH"/>
        </w:rPr>
      </w:pPr>
      <w:r>
        <w:rPr>
          <w:b/>
          <w:bCs/>
          <w:sz w:val="28"/>
          <w:szCs w:val="28"/>
          <w:lang w:val="en-PH"/>
        </w:rPr>
        <w:t xml:space="preserve">(3) </w:t>
      </w:r>
      <w:r w:rsidR="006C2C2F" w:rsidRPr="00C31D09">
        <w:rPr>
          <w:b/>
          <w:bCs/>
          <w:sz w:val="28"/>
          <w:szCs w:val="28"/>
          <w:lang w:val="en-PH"/>
        </w:rPr>
        <w:t xml:space="preserve">(a) When an </w:t>
      </w:r>
      <w:r w:rsidR="006C2C2F" w:rsidRPr="00C31D09">
        <w:rPr>
          <w:b/>
          <w:bCs/>
          <w:sz w:val="28"/>
          <w:szCs w:val="28"/>
        </w:rPr>
        <w:t xml:space="preserve">exclusion to liability for an offense </w:t>
      </w:r>
      <w:r w:rsidR="006C2C2F" w:rsidRPr="00C31D09">
        <w:rPr>
          <w:b/>
          <w:bCs/>
          <w:i/>
          <w:iCs/>
          <w:sz w:val="28"/>
          <w:szCs w:val="28"/>
          <w:lang w:val="en-PH"/>
        </w:rPr>
        <w:t>is specified</w:t>
      </w:r>
      <w:r w:rsidR="006C2C2F" w:rsidRPr="00C31D09">
        <w:rPr>
          <w:b/>
          <w:bCs/>
          <w:sz w:val="28"/>
          <w:szCs w:val="28"/>
          <w:lang w:val="en-PH"/>
        </w:rPr>
        <w:t xml:space="preserve"> in the definition of the offense, </w:t>
      </w:r>
      <w:bookmarkStart w:id="7" w:name="_Hlk113028432"/>
      <w:r w:rsidR="006C2C2F" w:rsidRPr="00C31D09">
        <w:rPr>
          <w:b/>
          <w:bCs/>
          <w:sz w:val="28"/>
          <w:szCs w:val="28"/>
        </w:rPr>
        <w:t xml:space="preserve">absent the </w:t>
      </w:r>
      <w:r w:rsidR="00845ACA" w:rsidRPr="00C31D09">
        <w:rPr>
          <w:b/>
          <w:bCs/>
          <w:sz w:val="28"/>
          <w:szCs w:val="28"/>
        </w:rPr>
        <w:t xml:space="preserve">expressed </w:t>
      </w:r>
      <w:r w:rsidR="006C2C2F" w:rsidRPr="00C31D09">
        <w:rPr>
          <w:b/>
          <w:bCs/>
          <w:sz w:val="28"/>
          <w:szCs w:val="28"/>
        </w:rPr>
        <w:t xml:space="preserve">intent of the enacting body to the contrary as detailed in paragraph (b), the exclusion is an “exception,” and </w:t>
      </w:r>
      <w:r w:rsidR="006C2C2F" w:rsidRPr="00C31D09">
        <w:rPr>
          <w:b/>
          <w:bCs/>
          <w:sz w:val="28"/>
          <w:szCs w:val="28"/>
          <w:lang w:val="en-PH"/>
        </w:rPr>
        <w:t xml:space="preserve">the People are required to plead the </w:t>
      </w:r>
      <w:r w:rsidR="00A01653" w:rsidRPr="00C31D09">
        <w:rPr>
          <w:b/>
          <w:bCs/>
          <w:sz w:val="28"/>
          <w:szCs w:val="28"/>
        </w:rPr>
        <w:t xml:space="preserve">inapplicability of the </w:t>
      </w:r>
      <w:r w:rsidR="006C2C2F" w:rsidRPr="00C31D09">
        <w:rPr>
          <w:b/>
          <w:bCs/>
          <w:sz w:val="28"/>
          <w:szCs w:val="28"/>
          <w:lang w:val="en-PH"/>
        </w:rPr>
        <w:t>“exclusion</w:t>
      </w:r>
      <w:r w:rsidR="0023699D" w:rsidRPr="00C31D09">
        <w:rPr>
          <w:b/>
          <w:bCs/>
          <w:sz w:val="28"/>
          <w:szCs w:val="28"/>
          <w:lang w:val="en-PH"/>
        </w:rPr>
        <w:t>,</w:t>
      </w:r>
      <w:r w:rsidR="006C2C2F" w:rsidRPr="00C31D09">
        <w:rPr>
          <w:b/>
          <w:bCs/>
          <w:sz w:val="28"/>
          <w:szCs w:val="28"/>
          <w:lang w:val="en-PH"/>
        </w:rPr>
        <w:t>” and at trial the People must disprove it beyond a reasonable doubt.</w:t>
      </w:r>
    </w:p>
    <w:bookmarkEnd w:id="7"/>
    <w:p w14:paraId="24B53C61" w14:textId="77777777" w:rsidR="006C2C2F" w:rsidRPr="00C31D09" w:rsidRDefault="006C2C2F" w:rsidP="00C31D09">
      <w:pPr>
        <w:spacing w:before="0"/>
        <w:ind w:right="720"/>
        <w:rPr>
          <w:b/>
          <w:bCs/>
          <w:sz w:val="28"/>
          <w:szCs w:val="28"/>
          <w:lang w:val="en-PH"/>
        </w:rPr>
      </w:pPr>
    </w:p>
    <w:p w14:paraId="44C983BF" w14:textId="6BCB2F59" w:rsidR="00600CAE" w:rsidRPr="00876921" w:rsidRDefault="006C2C2F" w:rsidP="00C31D09">
      <w:pPr>
        <w:pStyle w:val="ListParagraph"/>
        <w:spacing w:before="0"/>
        <w:ind w:left="1170" w:right="720"/>
        <w:jc w:val="both"/>
        <w:rPr>
          <w:b/>
          <w:bCs/>
          <w:sz w:val="28"/>
          <w:szCs w:val="28"/>
          <w:lang w:val="en-PH"/>
        </w:rPr>
      </w:pPr>
      <w:r w:rsidRPr="00876921">
        <w:rPr>
          <w:b/>
          <w:bCs/>
          <w:sz w:val="28"/>
          <w:szCs w:val="28"/>
          <w:lang w:val="en-PH"/>
        </w:rPr>
        <w:t xml:space="preserve">(b) When the </w:t>
      </w:r>
      <w:r w:rsidRPr="00876921">
        <w:rPr>
          <w:b/>
          <w:bCs/>
          <w:sz w:val="28"/>
          <w:szCs w:val="28"/>
        </w:rPr>
        <w:t xml:space="preserve">intent of an enacting body is not expressly stated, their intent is assumed to be what would constitute a </w:t>
      </w:r>
      <w:r w:rsidRPr="00876921">
        <w:rPr>
          <w:b/>
          <w:bCs/>
          <w:sz w:val="28"/>
          <w:szCs w:val="28"/>
          <w:lang w:val="en-PH"/>
        </w:rPr>
        <w:t>“common sense and</w:t>
      </w:r>
      <w:r w:rsidR="005A73E2" w:rsidRPr="00876921">
        <w:rPr>
          <w:b/>
          <w:bCs/>
          <w:sz w:val="28"/>
          <w:szCs w:val="28"/>
          <w:lang w:val="en-PH"/>
        </w:rPr>
        <w:t xml:space="preserve"> </w:t>
      </w:r>
      <w:r w:rsidRPr="00876921">
        <w:rPr>
          <w:b/>
          <w:bCs/>
          <w:sz w:val="28"/>
          <w:szCs w:val="28"/>
          <w:lang w:val="en-PH"/>
        </w:rPr>
        <w:t xml:space="preserve">reasonable pleading” of the </w:t>
      </w:r>
      <w:r w:rsidR="005A73E2" w:rsidRPr="00876921">
        <w:rPr>
          <w:b/>
          <w:bCs/>
          <w:sz w:val="28"/>
          <w:szCs w:val="28"/>
          <w:lang w:val="en-PH"/>
        </w:rPr>
        <w:t xml:space="preserve">exclusion. </w:t>
      </w:r>
    </w:p>
    <w:p w14:paraId="55C30267" w14:textId="77777777" w:rsidR="00D26078" w:rsidRPr="00C31D09" w:rsidRDefault="00D26078" w:rsidP="00C31D09">
      <w:pPr>
        <w:spacing w:before="0"/>
        <w:ind w:right="720"/>
        <w:jc w:val="both"/>
        <w:rPr>
          <w:b/>
          <w:bCs/>
          <w:sz w:val="28"/>
          <w:szCs w:val="28"/>
          <w:lang w:val="en-PH"/>
        </w:rPr>
      </w:pPr>
    </w:p>
    <w:p w14:paraId="57DA0EDB" w14:textId="62D8347F" w:rsidR="006C2C2F" w:rsidRPr="00876921" w:rsidRDefault="00BF7580" w:rsidP="00876921">
      <w:pPr>
        <w:spacing w:before="0"/>
        <w:ind w:left="1440" w:right="720"/>
        <w:jc w:val="both"/>
        <w:rPr>
          <w:b/>
          <w:bCs/>
          <w:sz w:val="28"/>
          <w:szCs w:val="28"/>
          <w:lang w:val="en-PH"/>
        </w:rPr>
      </w:pPr>
      <w:r w:rsidRPr="00876921">
        <w:rPr>
          <w:b/>
          <w:bCs/>
          <w:sz w:val="28"/>
          <w:szCs w:val="28"/>
          <w:lang w:val="en-PH"/>
        </w:rPr>
        <w:t>(i)</w:t>
      </w:r>
      <w:r w:rsidR="005A73E2" w:rsidRPr="00876921">
        <w:rPr>
          <w:b/>
          <w:bCs/>
          <w:sz w:val="28"/>
          <w:szCs w:val="28"/>
          <w:lang w:val="en-PH"/>
        </w:rPr>
        <w:t xml:space="preserve"> </w:t>
      </w:r>
      <w:r w:rsidR="003B3FF7" w:rsidRPr="00876921">
        <w:rPr>
          <w:b/>
          <w:bCs/>
          <w:sz w:val="28"/>
          <w:szCs w:val="28"/>
          <w:lang w:val="en-PH"/>
        </w:rPr>
        <w:t>In determining whether “common sense and reasonable pleading” may excuse the People from pleadin</w:t>
      </w:r>
      <w:r w:rsidR="00416BC9" w:rsidRPr="00876921">
        <w:rPr>
          <w:b/>
          <w:bCs/>
          <w:sz w:val="28"/>
          <w:szCs w:val="28"/>
          <w:lang w:val="en-PH"/>
        </w:rPr>
        <w:t>g the</w:t>
      </w:r>
      <w:r w:rsidR="003B3FF7" w:rsidRPr="00876921">
        <w:rPr>
          <w:b/>
          <w:bCs/>
          <w:sz w:val="28"/>
          <w:szCs w:val="28"/>
          <w:lang w:val="en-PH"/>
        </w:rPr>
        <w:t xml:space="preserve"> </w:t>
      </w:r>
      <w:r w:rsidR="00D26078" w:rsidRPr="00876921">
        <w:rPr>
          <w:b/>
          <w:bCs/>
          <w:sz w:val="28"/>
          <w:szCs w:val="28"/>
        </w:rPr>
        <w:t xml:space="preserve">inapplicability of </w:t>
      </w:r>
      <w:r w:rsidR="007E05FC" w:rsidRPr="00876921">
        <w:rPr>
          <w:b/>
          <w:bCs/>
          <w:sz w:val="28"/>
          <w:szCs w:val="28"/>
        </w:rPr>
        <w:t>an</w:t>
      </w:r>
      <w:r w:rsidR="003B3FF7" w:rsidRPr="00876921">
        <w:rPr>
          <w:b/>
          <w:bCs/>
          <w:sz w:val="28"/>
          <w:szCs w:val="28"/>
          <w:lang w:val="en-PH"/>
        </w:rPr>
        <w:t xml:space="preserve"> exclusion stated in the definition of an offense</w:t>
      </w:r>
      <w:r w:rsidR="00E37ED6" w:rsidRPr="00876921">
        <w:rPr>
          <w:b/>
          <w:bCs/>
          <w:sz w:val="28"/>
          <w:szCs w:val="28"/>
          <w:lang w:val="en-PH"/>
        </w:rPr>
        <w:t xml:space="preserve"> and dis</w:t>
      </w:r>
      <w:r w:rsidR="00E064CE" w:rsidRPr="00876921">
        <w:rPr>
          <w:b/>
          <w:bCs/>
          <w:sz w:val="28"/>
          <w:szCs w:val="28"/>
          <w:lang w:val="en-PH"/>
        </w:rPr>
        <w:t xml:space="preserve">proving </w:t>
      </w:r>
      <w:r w:rsidR="00FA05B3" w:rsidRPr="00876921">
        <w:rPr>
          <w:b/>
          <w:bCs/>
          <w:sz w:val="28"/>
          <w:szCs w:val="28"/>
          <w:lang w:val="en-PH"/>
        </w:rPr>
        <w:t xml:space="preserve">it at trial </w:t>
      </w:r>
      <w:r w:rsidR="00E064CE" w:rsidRPr="00876921">
        <w:rPr>
          <w:b/>
          <w:bCs/>
          <w:sz w:val="28"/>
          <w:szCs w:val="28"/>
          <w:lang w:val="en-PH"/>
        </w:rPr>
        <w:t>unless raised by the defendant</w:t>
      </w:r>
      <w:r w:rsidR="003B3FF7" w:rsidRPr="00876921">
        <w:rPr>
          <w:b/>
          <w:bCs/>
          <w:sz w:val="28"/>
          <w:szCs w:val="28"/>
          <w:lang w:val="en-PH"/>
        </w:rPr>
        <w:t>, a court may consider, for example</w:t>
      </w:r>
      <w:r w:rsidR="003D4E9E" w:rsidRPr="00876921">
        <w:rPr>
          <w:b/>
          <w:bCs/>
          <w:sz w:val="28"/>
          <w:szCs w:val="28"/>
          <w:lang w:val="en-PH"/>
        </w:rPr>
        <w:t>:</w:t>
      </w:r>
    </w:p>
    <w:p w14:paraId="6378DB8C" w14:textId="77777777" w:rsidR="006C2C2F" w:rsidRPr="00C31D09" w:rsidRDefault="006C2C2F" w:rsidP="00C31D09">
      <w:pPr>
        <w:spacing w:before="0"/>
        <w:ind w:right="720"/>
        <w:jc w:val="both"/>
        <w:rPr>
          <w:b/>
          <w:bCs/>
          <w:sz w:val="28"/>
          <w:szCs w:val="28"/>
          <w:lang w:val="en-PH"/>
        </w:rPr>
      </w:pPr>
    </w:p>
    <w:p w14:paraId="117B0BCE" w14:textId="171E8CD5" w:rsidR="009C20D3" w:rsidRPr="00C31D09" w:rsidRDefault="00C31D09" w:rsidP="00C31D09">
      <w:pPr>
        <w:spacing w:before="0"/>
        <w:ind w:left="1980" w:right="720"/>
        <w:jc w:val="both"/>
        <w:rPr>
          <w:b/>
          <w:bCs/>
          <w:sz w:val="28"/>
          <w:szCs w:val="28"/>
          <w:lang w:val="en-PH"/>
        </w:rPr>
      </w:pPr>
      <w:bookmarkStart w:id="8" w:name="_Hlk113449059"/>
      <w:r>
        <w:rPr>
          <w:b/>
          <w:bCs/>
          <w:sz w:val="28"/>
          <w:szCs w:val="28"/>
          <w:lang w:val="en-PH"/>
        </w:rPr>
        <w:lastRenderedPageBreak/>
        <w:t xml:space="preserve">(1) </w:t>
      </w:r>
      <w:r w:rsidR="003D4E9E" w:rsidRPr="00C31D09">
        <w:rPr>
          <w:b/>
          <w:bCs/>
          <w:sz w:val="28"/>
          <w:szCs w:val="28"/>
          <w:lang w:val="en-PH"/>
        </w:rPr>
        <w:t xml:space="preserve">whether </w:t>
      </w:r>
      <w:bookmarkEnd w:id="8"/>
      <w:r w:rsidR="00C1739E" w:rsidRPr="00C31D09">
        <w:rPr>
          <w:b/>
          <w:bCs/>
          <w:sz w:val="28"/>
          <w:szCs w:val="28"/>
          <w:lang w:val="en-PH"/>
        </w:rPr>
        <w:t>t</w:t>
      </w:r>
      <w:r w:rsidR="006C2C2F" w:rsidRPr="00C31D09">
        <w:rPr>
          <w:b/>
          <w:bCs/>
          <w:sz w:val="28"/>
          <w:szCs w:val="28"/>
          <w:lang w:val="en-PH"/>
        </w:rPr>
        <w:t>he exclusion</w:t>
      </w:r>
      <w:r w:rsidR="00866948" w:rsidRPr="00C31D09">
        <w:rPr>
          <w:b/>
          <w:bCs/>
          <w:sz w:val="28"/>
          <w:szCs w:val="28"/>
          <w:lang w:val="en-PH"/>
        </w:rPr>
        <w:t>,</w:t>
      </w:r>
      <w:r w:rsidR="006C2C2F" w:rsidRPr="00C31D09">
        <w:rPr>
          <w:b/>
          <w:bCs/>
          <w:sz w:val="28"/>
          <w:szCs w:val="28"/>
          <w:lang w:val="en-PH"/>
        </w:rPr>
        <w:t xml:space="preserve"> by its own terms, or by incorporation of a separate statute, includes myriad factual scenarios </w:t>
      </w:r>
      <w:r w:rsidR="00EC40E9" w:rsidRPr="00C31D09">
        <w:rPr>
          <w:b/>
          <w:bCs/>
          <w:sz w:val="28"/>
          <w:szCs w:val="28"/>
          <w:lang w:val="en-PH"/>
        </w:rPr>
        <w:t>that</w:t>
      </w:r>
      <w:r w:rsidR="006C2C2F" w:rsidRPr="00C31D09">
        <w:rPr>
          <w:b/>
          <w:bCs/>
          <w:sz w:val="28"/>
          <w:szCs w:val="28"/>
          <w:lang w:val="en-PH"/>
        </w:rPr>
        <w:t xml:space="preserve"> would require the People to go to intolerable lengths to negate.</w:t>
      </w:r>
    </w:p>
    <w:p w14:paraId="038DEC52" w14:textId="422C2694" w:rsidR="009C20D3" w:rsidRPr="00876921" w:rsidRDefault="009C20D3" w:rsidP="00876921">
      <w:pPr>
        <w:spacing w:before="0"/>
        <w:ind w:right="720"/>
        <w:jc w:val="both"/>
        <w:rPr>
          <w:b/>
          <w:bCs/>
          <w:sz w:val="28"/>
          <w:szCs w:val="28"/>
          <w:lang w:val="en-PH"/>
        </w:rPr>
      </w:pPr>
    </w:p>
    <w:p w14:paraId="72D2CD4D" w14:textId="40B23ED1" w:rsidR="008918AB" w:rsidRPr="00876921" w:rsidRDefault="00C31D09" w:rsidP="00C31D09">
      <w:pPr>
        <w:pStyle w:val="ListParagraph"/>
        <w:spacing w:before="0"/>
        <w:ind w:left="1980" w:right="720"/>
        <w:jc w:val="both"/>
        <w:rPr>
          <w:rFonts w:eastAsia="Calibri"/>
          <w:b/>
          <w:sz w:val="28"/>
          <w:szCs w:val="28"/>
          <w:lang w:val="en-PH"/>
        </w:rPr>
      </w:pPr>
      <w:r>
        <w:rPr>
          <w:b/>
          <w:bCs/>
          <w:sz w:val="28"/>
          <w:szCs w:val="28"/>
          <w:lang w:val="en-PH"/>
        </w:rPr>
        <w:t xml:space="preserve">(2) </w:t>
      </w:r>
      <w:r w:rsidR="003D4E9E" w:rsidRPr="00876921">
        <w:rPr>
          <w:b/>
          <w:bCs/>
          <w:sz w:val="28"/>
          <w:szCs w:val="28"/>
          <w:lang w:val="en-PH"/>
        </w:rPr>
        <w:t xml:space="preserve">whether </w:t>
      </w:r>
      <w:r w:rsidR="00C1739E" w:rsidRPr="00876921">
        <w:rPr>
          <w:b/>
          <w:bCs/>
          <w:sz w:val="28"/>
          <w:szCs w:val="28"/>
          <w:lang w:val="en-PH"/>
        </w:rPr>
        <w:t>t</w:t>
      </w:r>
      <w:r w:rsidR="009C20D3" w:rsidRPr="00876921">
        <w:rPr>
          <w:b/>
          <w:bCs/>
          <w:sz w:val="28"/>
          <w:szCs w:val="28"/>
          <w:lang w:val="en-PH"/>
        </w:rPr>
        <w:t xml:space="preserve">he exclusion is uniquely within </w:t>
      </w:r>
      <w:r w:rsidR="00390254" w:rsidRPr="00876921">
        <w:rPr>
          <w:b/>
          <w:bCs/>
          <w:sz w:val="28"/>
          <w:szCs w:val="28"/>
          <w:lang w:val="en-PH"/>
        </w:rPr>
        <w:t>the defendant’s</w:t>
      </w:r>
      <w:r w:rsidR="009C20D3" w:rsidRPr="00876921">
        <w:rPr>
          <w:b/>
          <w:bCs/>
          <w:sz w:val="28"/>
          <w:szCs w:val="28"/>
          <w:lang w:val="en-PH"/>
        </w:rPr>
        <w:t xml:space="preserve"> knowledge</w:t>
      </w:r>
      <w:r w:rsidR="00E31311" w:rsidRPr="00876921">
        <w:rPr>
          <w:b/>
          <w:bCs/>
          <w:sz w:val="28"/>
          <w:szCs w:val="28"/>
          <w:lang w:val="en-PH"/>
        </w:rPr>
        <w:t>.</w:t>
      </w:r>
    </w:p>
    <w:bookmarkEnd w:id="0"/>
    <w:bookmarkEnd w:id="1"/>
    <w:p w14:paraId="194C1017" w14:textId="70E04A24" w:rsidR="006D0FF1" w:rsidRPr="00876921" w:rsidRDefault="006D0FF1" w:rsidP="00876921">
      <w:pPr>
        <w:tabs>
          <w:tab w:val="left" w:pos="720"/>
          <w:tab w:val="left" w:pos="6461"/>
        </w:tabs>
        <w:spacing w:before="0"/>
        <w:ind w:right="720"/>
        <w:jc w:val="both"/>
        <w:rPr>
          <w:rFonts w:eastAsia="Calibri"/>
          <w:b/>
          <w:sz w:val="28"/>
          <w:szCs w:val="28"/>
          <w:lang w:val="en-PH"/>
        </w:rPr>
      </w:pPr>
    </w:p>
    <w:p w14:paraId="217F5655" w14:textId="1E11B26C" w:rsidR="0075767E" w:rsidRPr="00876921" w:rsidRDefault="00CB2F51" w:rsidP="00876921">
      <w:pPr>
        <w:spacing w:before="0"/>
        <w:jc w:val="center"/>
        <w:rPr>
          <w:b/>
          <w:bCs/>
        </w:rPr>
      </w:pPr>
      <w:r w:rsidRPr="00876921">
        <w:rPr>
          <w:b/>
          <w:bCs/>
        </w:rPr>
        <w:t>Note</w:t>
      </w:r>
    </w:p>
    <w:p w14:paraId="0A0F0A8D" w14:textId="77777777" w:rsidR="00CB2F51" w:rsidRPr="00876921" w:rsidRDefault="00CB2F51" w:rsidP="00876921">
      <w:pPr>
        <w:spacing w:before="0"/>
        <w:rPr>
          <w:b/>
          <w:bCs/>
        </w:rPr>
      </w:pPr>
    </w:p>
    <w:p w14:paraId="1ED1DA75" w14:textId="160A1B1C" w:rsidR="002B3A93" w:rsidRPr="00876921" w:rsidRDefault="00C31D09" w:rsidP="00C31D09">
      <w:pPr>
        <w:tabs>
          <w:tab w:val="left" w:pos="720"/>
        </w:tabs>
        <w:spacing w:before="0"/>
        <w:jc w:val="both"/>
      </w:pPr>
      <w:r>
        <w:rPr>
          <w:b/>
          <w:bCs/>
        </w:rPr>
        <w:tab/>
      </w:r>
      <w:r w:rsidR="00790258" w:rsidRPr="00876921">
        <w:rPr>
          <w:b/>
          <w:bCs/>
        </w:rPr>
        <w:t>Subdivision (1).</w:t>
      </w:r>
      <w:r w:rsidR="00790258" w:rsidRPr="00876921">
        <w:t xml:space="preserve"> </w:t>
      </w:r>
      <w:r w:rsidR="002B3A93" w:rsidRPr="00876921">
        <w:t>A Penal Law statute may de</w:t>
      </w:r>
      <w:r w:rsidR="00963193" w:rsidRPr="00876921">
        <w:t>signate</w:t>
      </w:r>
      <w:r w:rsidR="002B3A93" w:rsidRPr="00876921">
        <w:t xml:space="preserve"> a “defense” or “affirmative defense” to a defined offense. The People </w:t>
      </w:r>
      <w:r w:rsidR="00497B09" w:rsidRPr="00876921">
        <w:t xml:space="preserve">bear </w:t>
      </w:r>
      <w:r w:rsidR="002B3A93" w:rsidRPr="00876921">
        <w:t>the burden of disproving a “defense” beyond a reasonable doubt</w:t>
      </w:r>
      <w:r w:rsidR="00DE6236" w:rsidRPr="00876921">
        <w:t>.</w:t>
      </w:r>
      <w:r w:rsidR="009371B0" w:rsidRPr="00876921">
        <w:t xml:space="preserve"> T</w:t>
      </w:r>
      <w:r w:rsidR="002B3A93" w:rsidRPr="00876921">
        <w:t xml:space="preserve">he defendant </w:t>
      </w:r>
      <w:r w:rsidR="00D62567" w:rsidRPr="00876921">
        <w:t>bears</w:t>
      </w:r>
      <w:r w:rsidR="002B3A93" w:rsidRPr="00876921">
        <w:t xml:space="preserve"> the burden of establishing an affirmative defense by a preponderance of the evidence. </w:t>
      </w:r>
      <w:r w:rsidR="001B390E" w:rsidRPr="00876921">
        <w:t>(</w:t>
      </w:r>
      <w:r w:rsidR="00F30E73" w:rsidRPr="00876921">
        <w:t>Penal Law § 25.00.</w:t>
      </w:r>
      <w:r w:rsidR="001B390E" w:rsidRPr="00876921">
        <w:t>)</w:t>
      </w:r>
    </w:p>
    <w:p w14:paraId="73B6813C" w14:textId="77777777" w:rsidR="002B3A93" w:rsidRPr="00876921" w:rsidRDefault="002B3A93" w:rsidP="00876921">
      <w:pPr>
        <w:spacing w:before="0"/>
        <w:jc w:val="both"/>
      </w:pPr>
    </w:p>
    <w:p w14:paraId="3B88C69F" w14:textId="0DCDE44E" w:rsidR="002B3A93" w:rsidRPr="00876921" w:rsidRDefault="00C31D09" w:rsidP="00C31D09">
      <w:pPr>
        <w:tabs>
          <w:tab w:val="left" w:pos="720"/>
        </w:tabs>
        <w:spacing w:before="0"/>
        <w:jc w:val="both"/>
      </w:pPr>
      <w:r>
        <w:tab/>
      </w:r>
      <w:r w:rsidR="002B3A93" w:rsidRPr="00876921">
        <w:t xml:space="preserve">In addition to a “defense” or “affirmative defense,” there </w:t>
      </w:r>
      <w:r w:rsidR="00046E99" w:rsidRPr="00876921">
        <w:t xml:space="preserve">may be </w:t>
      </w:r>
      <w:r w:rsidR="00781374" w:rsidRPr="00876921">
        <w:t>provisions</w:t>
      </w:r>
      <w:r w:rsidR="002B3A93" w:rsidRPr="00876921">
        <w:t xml:space="preserve"> in or outside </w:t>
      </w:r>
      <w:r w:rsidR="00C17F6F" w:rsidRPr="00876921">
        <w:t>the definition of</w:t>
      </w:r>
      <w:r w:rsidR="002B3A93" w:rsidRPr="00876921">
        <w:t xml:space="preserve"> an offense </w:t>
      </w:r>
      <w:r w:rsidR="00545D27" w:rsidRPr="00876921">
        <w:t xml:space="preserve">that </w:t>
      </w:r>
      <w:r w:rsidR="003F6404" w:rsidRPr="00876921">
        <w:t>“</w:t>
      </w:r>
      <w:r w:rsidR="002B3A93" w:rsidRPr="00876921">
        <w:t>exclude</w:t>
      </w:r>
      <w:r w:rsidR="003F6404" w:rsidRPr="00876921">
        <w:t>”</w:t>
      </w:r>
      <w:r w:rsidR="002B3A93" w:rsidRPr="00876921">
        <w:t xml:space="preserve"> liability for the offense in stated circumstances. </w:t>
      </w:r>
      <w:r w:rsidR="008371DF" w:rsidRPr="00876921">
        <w:t xml:space="preserve">No statute, however, </w:t>
      </w:r>
      <w:r w:rsidR="002B3A93" w:rsidRPr="00876921">
        <w:t xml:space="preserve">defines the </w:t>
      </w:r>
      <w:r w:rsidR="00B01390" w:rsidRPr="00876921">
        <w:t xml:space="preserve">evidentiary </w:t>
      </w:r>
      <w:r w:rsidR="002B3A93" w:rsidRPr="00876921">
        <w:t xml:space="preserve">burden of the People or </w:t>
      </w:r>
      <w:r w:rsidR="005D17B7" w:rsidRPr="00876921">
        <w:t xml:space="preserve">of the </w:t>
      </w:r>
      <w:r w:rsidR="002B3A93" w:rsidRPr="00876921">
        <w:t>defendant with respect to th</w:t>
      </w:r>
      <w:r w:rsidR="005D17B7" w:rsidRPr="00876921">
        <w:t>e</w:t>
      </w:r>
      <w:r w:rsidR="002B3A93" w:rsidRPr="00876921">
        <w:t xml:space="preserve"> </w:t>
      </w:r>
      <w:r w:rsidR="003F6404" w:rsidRPr="00876921">
        <w:t>“</w:t>
      </w:r>
      <w:r w:rsidR="002B3A93" w:rsidRPr="00876921">
        <w:t>exclusion</w:t>
      </w:r>
      <w:r w:rsidR="00FE4977" w:rsidRPr="00876921">
        <w:t>.</w:t>
      </w:r>
      <w:r w:rsidR="003F6404" w:rsidRPr="00876921">
        <w:t>”</w:t>
      </w:r>
    </w:p>
    <w:p w14:paraId="5922B556" w14:textId="77777777" w:rsidR="002B3A93" w:rsidRPr="00876921" w:rsidRDefault="002B3A93" w:rsidP="00876921">
      <w:pPr>
        <w:spacing w:before="0"/>
        <w:jc w:val="both"/>
      </w:pPr>
    </w:p>
    <w:p w14:paraId="09E499DF" w14:textId="1AEB2144" w:rsidR="008C28E0" w:rsidRPr="00876921" w:rsidRDefault="00C31D09" w:rsidP="00C31D09">
      <w:pPr>
        <w:shd w:val="clear" w:color="auto" w:fill="FFFFFF"/>
        <w:tabs>
          <w:tab w:val="left" w:pos="720"/>
        </w:tabs>
        <w:spacing w:before="0"/>
        <w:jc w:val="both"/>
        <w:rPr>
          <w:rFonts w:eastAsia="Times New Roman"/>
        </w:rPr>
      </w:pPr>
      <w:r>
        <w:tab/>
      </w:r>
      <w:r w:rsidR="00E30BC1" w:rsidRPr="00876921">
        <w:t xml:space="preserve">When </w:t>
      </w:r>
      <w:r w:rsidR="002B3A93" w:rsidRPr="00876921">
        <w:t xml:space="preserve">decisional law requires the People to plead </w:t>
      </w:r>
      <w:r w:rsidR="003D7D94" w:rsidRPr="00876921">
        <w:t>the inapplicability of the</w:t>
      </w:r>
      <w:r w:rsidR="003D7D94" w:rsidRPr="00876921">
        <w:rPr>
          <w:b/>
          <w:bCs/>
        </w:rPr>
        <w:t xml:space="preserve"> </w:t>
      </w:r>
      <w:r w:rsidR="006042A1" w:rsidRPr="00876921">
        <w:t>exclusion</w:t>
      </w:r>
      <w:r w:rsidR="006042A1" w:rsidRPr="00876921">
        <w:rPr>
          <w:b/>
          <w:bCs/>
        </w:rPr>
        <w:t xml:space="preserve"> </w:t>
      </w:r>
      <w:r w:rsidR="002B3A93" w:rsidRPr="00876921">
        <w:t xml:space="preserve">and </w:t>
      </w:r>
      <w:r w:rsidR="00BC4572" w:rsidRPr="00876921">
        <w:t xml:space="preserve">at trial </w:t>
      </w:r>
      <w:r w:rsidR="002B3A93" w:rsidRPr="00876921">
        <w:t xml:space="preserve">disprove </w:t>
      </w:r>
      <w:r w:rsidR="003F6404" w:rsidRPr="00876921">
        <w:t>an</w:t>
      </w:r>
      <w:r w:rsidR="002B3A93" w:rsidRPr="00876921">
        <w:t xml:space="preserve"> exclusion</w:t>
      </w:r>
      <w:r w:rsidR="00BC4572" w:rsidRPr="00876921">
        <w:t xml:space="preserve"> beyond a reasonable doubt</w:t>
      </w:r>
      <w:r w:rsidR="002B3A93" w:rsidRPr="00876921">
        <w:t>, the exclusionary clause is deemed an “exception”</w:t>
      </w:r>
      <w:r w:rsidR="00A93B44" w:rsidRPr="00876921">
        <w:t>;</w:t>
      </w:r>
      <w:r w:rsidR="0064157C" w:rsidRPr="00876921">
        <w:t xml:space="preserve"> when decisional law does not require </w:t>
      </w:r>
      <w:r w:rsidR="002B3A93" w:rsidRPr="00876921">
        <w:t xml:space="preserve">the </w:t>
      </w:r>
      <w:r w:rsidR="00E656FF" w:rsidRPr="00876921">
        <w:t>People to plead the</w:t>
      </w:r>
      <w:r w:rsidR="00E10CFA" w:rsidRPr="00876921">
        <w:rPr>
          <w:b/>
          <w:bCs/>
        </w:rPr>
        <w:t xml:space="preserve"> </w:t>
      </w:r>
      <w:r w:rsidR="00E10CFA" w:rsidRPr="00876921">
        <w:t>inapplicability of the</w:t>
      </w:r>
      <w:r w:rsidR="00E10CFA" w:rsidRPr="00876921">
        <w:rPr>
          <w:b/>
          <w:bCs/>
        </w:rPr>
        <w:t xml:space="preserve"> </w:t>
      </w:r>
      <w:r w:rsidR="00F1461C" w:rsidRPr="00876921">
        <w:t>e</w:t>
      </w:r>
      <w:r w:rsidR="00E656FF" w:rsidRPr="00876921">
        <w:t xml:space="preserve">xclusion </w:t>
      </w:r>
      <w:r w:rsidR="00464F43" w:rsidRPr="00876921">
        <w:t xml:space="preserve">or disprove it </w:t>
      </w:r>
      <w:r w:rsidR="00D31D7B" w:rsidRPr="00876921">
        <w:t xml:space="preserve">at trial </w:t>
      </w:r>
      <w:r w:rsidR="00464F43" w:rsidRPr="00876921">
        <w:t xml:space="preserve">unless the defendant raises it, </w:t>
      </w:r>
      <w:r w:rsidR="002B3A93" w:rsidRPr="00876921">
        <w:t>the exclusion</w:t>
      </w:r>
      <w:r w:rsidR="00AE7014" w:rsidRPr="00876921">
        <w:t>ary clause</w:t>
      </w:r>
      <w:r w:rsidR="002B3A93" w:rsidRPr="00876921">
        <w:t xml:space="preserve"> is deemed a “proviso”</w:t>
      </w:r>
      <w:r w:rsidR="00952884" w:rsidRPr="00876921">
        <w:t xml:space="preserve"> </w:t>
      </w:r>
      <w:r w:rsidR="001B390E" w:rsidRPr="00876921">
        <w:t>(</w:t>
      </w:r>
      <w:r w:rsidR="002B3A93" w:rsidRPr="00876921">
        <w:rPr>
          <w:i/>
          <w:iCs/>
        </w:rPr>
        <w:t xml:space="preserve">People v </w:t>
      </w:r>
      <w:bookmarkStart w:id="9" w:name="_Hlk112946784"/>
      <w:r w:rsidR="002B3A93" w:rsidRPr="00876921">
        <w:rPr>
          <w:i/>
          <w:iCs/>
        </w:rPr>
        <w:t>De</w:t>
      </w:r>
      <w:r w:rsidR="0042657D" w:rsidRPr="00876921">
        <w:rPr>
          <w:i/>
          <w:iCs/>
        </w:rPr>
        <w:t>v</w:t>
      </w:r>
      <w:r w:rsidR="002B3A93" w:rsidRPr="00876921">
        <w:rPr>
          <w:i/>
          <w:iCs/>
        </w:rPr>
        <w:t>inny</w:t>
      </w:r>
      <w:r w:rsidR="002B3A93" w:rsidRPr="00876921">
        <w:t xml:space="preserve">, </w:t>
      </w:r>
      <w:bookmarkEnd w:id="9"/>
      <w:r w:rsidR="002B3A93" w:rsidRPr="00876921">
        <w:t>227 NY 397</w:t>
      </w:r>
      <w:r w:rsidR="002B3C3E" w:rsidRPr="00876921">
        <w:t>, 401</w:t>
      </w:r>
      <w:r w:rsidR="002B3A93" w:rsidRPr="00876921">
        <w:t xml:space="preserve"> </w:t>
      </w:r>
      <w:r w:rsidR="00FB6473" w:rsidRPr="00876921">
        <w:t>[</w:t>
      </w:r>
      <w:r w:rsidR="002B3A93" w:rsidRPr="00876921">
        <w:t>1919</w:t>
      </w:r>
      <w:r w:rsidR="00FB6473" w:rsidRPr="00876921">
        <w:t>]</w:t>
      </w:r>
      <w:r w:rsidR="002B3A93" w:rsidRPr="00876921">
        <w:t xml:space="preserve"> [“The general rule is that in dealing with a statutory crime exceptions must be negatived by the prosecution and provisos utilized as a matter of defense. Attempts to apply this general rule and distinguish between exceptions and provisos have resulted in many technicalities and in </w:t>
      </w:r>
      <w:r w:rsidR="00C575F7" w:rsidRPr="00876921">
        <w:t>m</w:t>
      </w:r>
      <w:r w:rsidR="002B3A93" w:rsidRPr="00876921">
        <w:t xml:space="preserve">uch </w:t>
      </w:r>
      <w:r w:rsidR="00FB6473" w:rsidRPr="00876921">
        <w:t>(</w:t>
      </w:r>
      <w:r w:rsidR="002B3A93" w:rsidRPr="00876921">
        <w:t>sub</w:t>
      </w:r>
      <w:r w:rsidR="00FB6473" w:rsidRPr="00876921">
        <w:t>t</w:t>
      </w:r>
      <w:r w:rsidR="002B3A93" w:rsidRPr="00876921">
        <w:t>lety</w:t>
      </w:r>
      <w:r w:rsidR="00FB6473" w:rsidRPr="00876921">
        <w:t>)</w:t>
      </w:r>
      <w:r w:rsidR="007D67EF" w:rsidRPr="00876921">
        <w:t xml:space="preserve">”]; </w:t>
      </w:r>
      <w:r w:rsidR="002B3A93" w:rsidRPr="00876921">
        <w:rPr>
          <w:i/>
          <w:iCs/>
        </w:rPr>
        <w:t>People v Davis</w:t>
      </w:r>
      <w:r w:rsidR="002B3A93" w:rsidRPr="00876921">
        <w:t>,</w:t>
      </w:r>
      <w:r w:rsidR="002B3A93" w:rsidRPr="00876921">
        <w:rPr>
          <w:lang w:val="en-CA"/>
        </w:rPr>
        <w:t xml:space="preserve"> </w:t>
      </w:r>
      <w:r w:rsidR="002B3A93" w:rsidRPr="00876921">
        <w:rPr>
          <w:lang w:val="en-CA"/>
        </w:rPr>
        <w:fldChar w:fldCharType="begin"/>
      </w:r>
      <w:r w:rsidR="002B3A93" w:rsidRPr="00876921">
        <w:rPr>
          <w:lang w:val="en-CA"/>
        </w:rPr>
        <w:instrText xml:space="preserve"> SEQ CHAPTER \h \r 1</w:instrText>
      </w:r>
      <w:r w:rsidR="002B3A93" w:rsidRPr="00876921">
        <w:fldChar w:fldCharType="end"/>
      </w:r>
      <w:r w:rsidR="002B3A93" w:rsidRPr="00876921">
        <w:t>13 NY3d 17, 31 [2009] [</w:t>
      </w:r>
      <w:r w:rsidR="002B3A93" w:rsidRPr="00876921">
        <w:rPr>
          <w:lang w:val="en-CA"/>
        </w:rPr>
        <w:fldChar w:fldCharType="begin"/>
      </w:r>
      <w:r w:rsidR="002B3A93" w:rsidRPr="00876921">
        <w:rPr>
          <w:lang w:val="en-CA"/>
        </w:rPr>
        <w:instrText xml:space="preserve"> SEQ CHAPTER \h \r 1</w:instrText>
      </w:r>
      <w:r w:rsidR="002B3A93" w:rsidRPr="00876921">
        <w:fldChar w:fldCharType="end"/>
      </w:r>
      <w:r w:rsidR="002B3A93" w:rsidRPr="00876921">
        <w:rPr>
          <w:lang w:val="en-CA"/>
        </w:rPr>
        <w:t>“</w:t>
      </w:r>
      <w:r w:rsidR="002B3A93" w:rsidRPr="00876921">
        <w:t xml:space="preserve">Although the murky contours of </w:t>
      </w:r>
      <w:r w:rsidR="00FB6473" w:rsidRPr="00876921">
        <w:t>‘</w:t>
      </w:r>
      <w:r w:rsidR="002B3A93" w:rsidRPr="00876921">
        <w:t>exceptions</w:t>
      </w:r>
      <w:r w:rsidR="00FB6473" w:rsidRPr="00876921">
        <w:t>’</w:t>
      </w:r>
      <w:r w:rsidR="002B3A93" w:rsidRPr="00876921">
        <w:t xml:space="preserve"> and </w:t>
      </w:r>
      <w:r w:rsidR="00FB6473" w:rsidRPr="00876921">
        <w:t>‘</w:t>
      </w:r>
      <w:r w:rsidR="002B3A93" w:rsidRPr="00876921">
        <w:t>provisos</w:t>
      </w:r>
      <w:r w:rsidR="00FB6473" w:rsidRPr="00876921">
        <w:t>’</w:t>
      </w:r>
      <w:r w:rsidR="002B3A93" w:rsidRPr="00876921">
        <w:t xml:space="preserve"> have long been the subject of debate</w:t>
      </w:r>
      <w:r w:rsidR="00FB6473" w:rsidRPr="00876921">
        <w:t xml:space="preserve"> </w:t>
      </w:r>
      <w:r w:rsidR="002B3A93" w:rsidRPr="00876921">
        <w:t>. . .</w:t>
      </w:r>
      <w:r w:rsidR="00FB6473" w:rsidRPr="00876921">
        <w:t xml:space="preserve"> , </w:t>
      </w:r>
      <w:r w:rsidR="002B3A93" w:rsidRPr="00876921">
        <w:t>we continue to utilize those ancient labels”]</w:t>
      </w:r>
      <w:r w:rsidR="005633BD" w:rsidRPr="00876921">
        <w:t xml:space="preserve">; </w:t>
      </w:r>
      <w:r w:rsidR="008C28E0" w:rsidRPr="00876921">
        <w:rPr>
          <w:rFonts w:eastAsia="Times New Roman"/>
          <w:i/>
          <w:iCs/>
        </w:rPr>
        <w:t>People v Santana</w:t>
      </w:r>
      <w:r w:rsidR="008C28E0" w:rsidRPr="00876921">
        <w:rPr>
          <w:rFonts w:eastAsia="Times New Roman"/>
        </w:rPr>
        <w:t>, 7 NY3d 234, 237</w:t>
      </w:r>
      <w:r w:rsidR="005633BD" w:rsidRPr="00876921">
        <w:rPr>
          <w:rFonts w:eastAsia="Times New Roman"/>
        </w:rPr>
        <w:t xml:space="preserve"> </w:t>
      </w:r>
      <w:r w:rsidR="008C28E0" w:rsidRPr="00876921">
        <w:rPr>
          <w:rFonts w:eastAsia="Times New Roman"/>
        </w:rPr>
        <w:t>[2006]</w:t>
      </w:r>
      <w:r w:rsidR="005633BD" w:rsidRPr="00876921">
        <w:rPr>
          <w:rFonts w:eastAsia="Times New Roman"/>
        </w:rPr>
        <w:t xml:space="preserve"> </w:t>
      </w:r>
      <w:r w:rsidR="00E9159B" w:rsidRPr="00876921">
        <w:rPr>
          <w:rFonts w:eastAsia="Times New Roman"/>
        </w:rPr>
        <w:t>[“</w:t>
      </w:r>
      <w:r w:rsidR="008C28E0" w:rsidRPr="00876921">
        <w:rPr>
          <w:rFonts w:eastAsia="Times New Roman"/>
        </w:rPr>
        <w:t xml:space="preserve">We therefore conclude that the </w:t>
      </w:r>
      <w:r w:rsidR="00E9159B" w:rsidRPr="00876921">
        <w:rPr>
          <w:rFonts w:eastAsia="Times New Roman"/>
        </w:rPr>
        <w:t>. . .</w:t>
      </w:r>
      <w:r w:rsidR="008C28E0" w:rsidRPr="00876921">
        <w:rPr>
          <w:rFonts w:eastAsia="Times New Roman"/>
        </w:rPr>
        <w:t xml:space="preserve"> clause operates as a proviso that the accused may raise in defense of the charge rather than an exception that must be pleaded by the People in the accusatory instrument</w:t>
      </w:r>
      <w:r w:rsidR="005633BD" w:rsidRPr="00876921">
        <w:rPr>
          <w:rFonts w:eastAsia="Times New Roman"/>
        </w:rPr>
        <w:t xml:space="preserve">. . . </w:t>
      </w:r>
      <w:r w:rsidR="008C28E0" w:rsidRPr="00876921">
        <w:rPr>
          <w:rFonts w:eastAsia="Times New Roman"/>
        </w:rPr>
        <w:t>.</w:t>
      </w:r>
      <w:r w:rsidR="00FB6473" w:rsidRPr="00876921">
        <w:rPr>
          <w:rFonts w:eastAsia="Times New Roman"/>
        </w:rPr>
        <w:t xml:space="preserve"> </w:t>
      </w:r>
      <w:r w:rsidR="008C28E0" w:rsidRPr="00876921">
        <w:rPr>
          <w:rFonts w:eastAsia="Times New Roman"/>
        </w:rPr>
        <w:t xml:space="preserve">If an accused timely raises the issue, the People must, of course, establish beyond a reasonable doubt that the </w:t>
      </w:r>
      <w:r w:rsidR="00E9159B" w:rsidRPr="00876921">
        <w:rPr>
          <w:rFonts w:eastAsia="Times New Roman"/>
        </w:rPr>
        <w:t>. . .</w:t>
      </w:r>
      <w:r w:rsidR="008C28E0" w:rsidRPr="00876921">
        <w:rPr>
          <w:rFonts w:eastAsia="Times New Roman"/>
        </w:rPr>
        <w:t xml:space="preserve"> proviso does not apply</w:t>
      </w:r>
      <w:r w:rsidR="000636FA">
        <w:rPr>
          <w:rFonts w:eastAsia="Times New Roman"/>
        </w:rPr>
        <w:t>”</w:t>
      </w:r>
      <w:r w:rsidR="000029E0" w:rsidRPr="00876921">
        <w:rPr>
          <w:rFonts w:eastAsia="Times New Roman"/>
        </w:rPr>
        <w:t>]</w:t>
      </w:r>
      <w:r w:rsidR="00FB6473" w:rsidRPr="00876921">
        <w:rPr>
          <w:rFonts w:eastAsia="Times New Roman"/>
        </w:rPr>
        <w:t>)</w:t>
      </w:r>
      <w:r w:rsidR="000029E0" w:rsidRPr="00876921">
        <w:rPr>
          <w:rFonts w:eastAsia="Times New Roman"/>
        </w:rPr>
        <w:t>.</w:t>
      </w:r>
    </w:p>
    <w:p w14:paraId="75C420D5" w14:textId="002C8524" w:rsidR="00E31CBB" w:rsidRDefault="00E31CBB" w:rsidP="00C31D09">
      <w:pPr>
        <w:tabs>
          <w:tab w:val="left" w:pos="720"/>
        </w:tabs>
        <w:spacing w:before="0"/>
        <w:jc w:val="both"/>
      </w:pPr>
    </w:p>
    <w:p w14:paraId="46FC6FFF" w14:textId="1BFA20CE" w:rsidR="00E31CBB" w:rsidRDefault="00E31CBB" w:rsidP="00C31D09">
      <w:pPr>
        <w:tabs>
          <w:tab w:val="left" w:pos="720"/>
        </w:tabs>
        <w:spacing w:before="0"/>
        <w:jc w:val="both"/>
      </w:pPr>
      <w:r>
        <w:tab/>
      </w:r>
      <w:r w:rsidRPr="00E31CBB">
        <w:t>“[T]he distinction between a proviso and an exception will be wholly disregarded, if necessary to give effect to the manifest intention of the Legislature” (</w:t>
      </w:r>
      <w:r w:rsidR="00CC482B" w:rsidRPr="00171B5F">
        <w:rPr>
          <w:i/>
          <w:iCs/>
        </w:rPr>
        <w:t>Davis</w:t>
      </w:r>
      <w:r w:rsidR="00CC482B" w:rsidRPr="00E31CBB">
        <w:t xml:space="preserve"> at 31, quoting</w:t>
      </w:r>
      <w:r w:rsidR="00C343A3">
        <w:t xml:space="preserve"> </w:t>
      </w:r>
      <w:r w:rsidRPr="00E31CBB">
        <w:t xml:space="preserve">McKinney's Cons Laws of NY, Book 1, Statutes § 211, Comment at 369).  Thus, that the exclusion is “introduced by ‘except’ is not </w:t>
      </w:r>
      <w:r w:rsidRPr="00E31CBB">
        <w:lastRenderedPageBreak/>
        <w:t>determinative” (</w:t>
      </w:r>
      <w:r w:rsidRPr="00171B5F">
        <w:rPr>
          <w:i/>
          <w:iCs/>
        </w:rPr>
        <w:t>Davis</w:t>
      </w:r>
      <w:r w:rsidRPr="00E31CBB">
        <w:t xml:space="preserve"> at 31, quoting McKinney's Cons Laws of NY, Book 1, Statutes § 211, Comment at 370).</w:t>
      </w:r>
    </w:p>
    <w:p w14:paraId="7E8AE459" w14:textId="316713FB" w:rsidR="00E31CBB" w:rsidRDefault="00E31CBB" w:rsidP="00C31D09">
      <w:pPr>
        <w:tabs>
          <w:tab w:val="left" w:pos="720"/>
        </w:tabs>
        <w:spacing w:before="0"/>
        <w:jc w:val="both"/>
      </w:pPr>
    </w:p>
    <w:p w14:paraId="0D74936F" w14:textId="1A7B6641" w:rsidR="008A0E54" w:rsidRPr="00876921" w:rsidRDefault="00E31CBB" w:rsidP="00C31D09">
      <w:pPr>
        <w:tabs>
          <w:tab w:val="left" w:pos="720"/>
        </w:tabs>
        <w:spacing w:before="0"/>
        <w:jc w:val="both"/>
        <w:rPr>
          <w:rFonts w:eastAsia="Calibri"/>
        </w:rPr>
      </w:pPr>
      <w:r>
        <w:tab/>
      </w:r>
      <w:r w:rsidR="001B0A1B" w:rsidRPr="00876921">
        <w:t xml:space="preserve">On occasion, decisional law may use the term “exception” </w:t>
      </w:r>
      <w:r w:rsidR="006D6425" w:rsidRPr="00876921">
        <w:t xml:space="preserve">generically to include </w:t>
      </w:r>
      <w:r w:rsidR="001C6292" w:rsidRPr="00876921">
        <w:t>the terms of art of “exception” and “proviso”</w:t>
      </w:r>
      <w:r w:rsidR="005E3983" w:rsidRPr="00876921">
        <w:t xml:space="preserve"> (</w:t>
      </w:r>
      <w:r w:rsidR="005E3983" w:rsidRPr="00876921">
        <w:rPr>
          <w:i/>
          <w:iCs/>
        </w:rPr>
        <w:t>e</w:t>
      </w:r>
      <w:r w:rsidR="001C6292" w:rsidRPr="00876921">
        <w:rPr>
          <w:i/>
          <w:iCs/>
        </w:rPr>
        <w:t>.g.</w:t>
      </w:r>
      <w:r w:rsidR="005E3983" w:rsidRPr="00876921">
        <w:rPr>
          <w:i/>
          <w:iCs/>
        </w:rPr>
        <w:t xml:space="preserve"> </w:t>
      </w:r>
      <w:r w:rsidR="001B0A1B" w:rsidRPr="00876921">
        <w:rPr>
          <w:rFonts w:eastAsia="Calibri"/>
          <w:i/>
          <w:iCs/>
          <w:lang w:val="en-PH"/>
        </w:rPr>
        <w:t>People v Kohut</w:t>
      </w:r>
      <w:r w:rsidR="001B0A1B" w:rsidRPr="00876921">
        <w:rPr>
          <w:rFonts w:eastAsia="Calibri"/>
          <w:lang w:val="en-PH"/>
        </w:rPr>
        <w:t>, 30 NY2d 183</w:t>
      </w:r>
      <w:r w:rsidR="00C86285" w:rsidRPr="00876921">
        <w:rPr>
          <w:rFonts w:eastAsia="Calibri"/>
          <w:lang w:val="en-PH"/>
        </w:rPr>
        <w:t xml:space="preserve">, 187 </w:t>
      </w:r>
      <w:r w:rsidR="001B0A1B" w:rsidRPr="00876921">
        <w:rPr>
          <w:rFonts w:eastAsia="Calibri"/>
          <w:lang w:val="en-PH"/>
        </w:rPr>
        <w:t>[1972]</w:t>
      </w:r>
      <w:r w:rsidR="008A0E54" w:rsidRPr="00876921">
        <w:rPr>
          <w:rFonts w:eastAsia="Calibri"/>
          <w:lang w:val="en-PH"/>
        </w:rPr>
        <w:t xml:space="preserve"> </w:t>
      </w:r>
      <w:r w:rsidR="00E45DD8" w:rsidRPr="00876921">
        <w:rPr>
          <w:rFonts w:eastAsia="Calibri"/>
        </w:rPr>
        <w:t>[</w:t>
      </w:r>
      <w:r w:rsidR="000751E9">
        <w:rPr>
          <w:rFonts w:eastAsia="Calibri"/>
        </w:rPr>
        <w:t>“</w:t>
      </w:r>
      <w:r w:rsidR="008A0E54" w:rsidRPr="00876921">
        <w:rPr>
          <w:rFonts w:eastAsia="Calibri"/>
        </w:rPr>
        <w:t xml:space="preserve">If the defining statute contains an exception, the indictment must allege that the crime is not within the exception. </w:t>
      </w:r>
      <w:r>
        <w:rPr>
          <w:rFonts w:eastAsia="Calibri"/>
        </w:rPr>
        <w:t xml:space="preserve"> </w:t>
      </w:r>
      <w:r w:rsidR="008A0E54" w:rsidRPr="00876921">
        <w:rPr>
          <w:rFonts w:eastAsia="Calibri"/>
        </w:rPr>
        <w:t>But when the exception is found outside the statute, the exception generally is a matter for the defendant to raise in defense, either under the general issue or by affirmative defense</w:t>
      </w:r>
      <w:r w:rsidR="000751E9">
        <w:rPr>
          <w:rFonts w:eastAsia="Calibri"/>
        </w:rPr>
        <w:t>”</w:t>
      </w:r>
      <w:r w:rsidR="00E45DD8" w:rsidRPr="00876921">
        <w:rPr>
          <w:rFonts w:eastAsia="Calibri"/>
        </w:rPr>
        <w:t>]</w:t>
      </w:r>
      <w:r w:rsidR="005E3983" w:rsidRPr="00876921">
        <w:rPr>
          <w:rFonts w:eastAsia="Calibri"/>
        </w:rPr>
        <w:t>)</w:t>
      </w:r>
      <w:r w:rsidR="00E45DD8" w:rsidRPr="00876921">
        <w:rPr>
          <w:rFonts w:eastAsia="Calibri"/>
        </w:rPr>
        <w:t>.</w:t>
      </w:r>
    </w:p>
    <w:p w14:paraId="6FDC74D2" w14:textId="77777777" w:rsidR="002B3A93" w:rsidRPr="00876921" w:rsidRDefault="002B3A93" w:rsidP="00876921">
      <w:pPr>
        <w:spacing w:before="0"/>
        <w:jc w:val="both"/>
      </w:pPr>
    </w:p>
    <w:p w14:paraId="4741248D" w14:textId="18AA09A7" w:rsidR="00725CB1" w:rsidRPr="00876921" w:rsidRDefault="00342A33" w:rsidP="00342A33">
      <w:pPr>
        <w:tabs>
          <w:tab w:val="left" w:pos="720"/>
        </w:tabs>
        <w:spacing w:before="0"/>
        <w:jc w:val="both"/>
      </w:pPr>
      <w:r>
        <w:tab/>
      </w:r>
      <w:r w:rsidR="00725CB1" w:rsidRPr="00876921">
        <w:t>Unlike New York</w:t>
      </w:r>
      <w:r w:rsidR="008F76CE" w:rsidRPr="00876921">
        <w:t xml:space="preserve"> law</w:t>
      </w:r>
      <w:r w:rsidR="00725CB1" w:rsidRPr="00876921">
        <w:t>, federal decisional law has a fairly settled rule “</w:t>
      </w:r>
      <w:r w:rsidR="00725CB1" w:rsidRPr="00876921">
        <w:rPr>
          <w:rFonts w:eastAsia="Times New Roman"/>
        </w:rPr>
        <w:t xml:space="preserve">that an indictment or other pleading founded on a general provision defining the elements of an offense, or of a right conferred, need not negative the matter of an exception made by a proviso or other distinct clause, whether in the same section or elsewhere, and that it is incumbent on one who relies on such an exception to set it up and establish it” </w:t>
      </w:r>
      <w:r w:rsidR="00695B22" w:rsidRPr="00876921">
        <w:rPr>
          <w:rFonts w:eastAsia="Times New Roman"/>
        </w:rPr>
        <w:t>(</w:t>
      </w:r>
      <w:r w:rsidR="00725CB1" w:rsidRPr="00876921">
        <w:rPr>
          <w:rFonts w:eastAsia="Times New Roman"/>
          <w:i/>
          <w:iCs/>
        </w:rPr>
        <w:t>McKelvey v United States</w:t>
      </w:r>
      <w:r w:rsidR="00725CB1" w:rsidRPr="00876921">
        <w:rPr>
          <w:rFonts w:eastAsia="Times New Roman"/>
        </w:rPr>
        <w:t xml:space="preserve">, 260 US 353, 357 </w:t>
      </w:r>
      <w:r w:rsidR="001B5EB7" w:rsidRPr="00876921">
        <w:rPr>
          <w:rFonts w:eastAsia="Times New Roman"/>
        </w:rPr>
        <w:t>[</w:t>
      </w:r>
      <w:r w:rsidR="00725CB1" w:rsidRPr="00876921">
        <w:rPr>
          <w:rFonts w:eastAsia="Times New Roman"/>
        </w:rPr>
        <w:t>1922</w:t>
      </w:r>
      <w:r w:rsidR="001B5EB7" w:rsidRPr="00876921">
        <w:rPr>
          <w:rFonts w:eastAsia="Times New Roman"/>
        </w:rPr>
        <w:t>]</w:t>
      </w:r>
      <w:r w:rsidR="00725CB1" w:rsidRPr="00876921">
        <w:rPr>
          <w:rFonts w:eastAsia="Times New Roman"/>
        </w:rPr>
        <w:t xml:space="preserve">; </w:t>
      </w:r>
      <w:r w:rsidR="00725CB1" w:rsidRPr="00876921">
        <w:rPr>
          <w:rFonts w:eastAsia="Times New Roman"/>
          <w:i/>
          <w:iCs/>
        </w:rPr>
        <w:t>Dixon v United States</w:t>
      </w:r>
      <w:r w:rsidR="00725CB1" w:rsidRPr="00876921">
        <w:rPr>
          <w:rFonts w:eastAsia="Times New Roman"/>
        </w:rPr>
        <w:t xml:space="preserve">, 548 US 1, 13 </w:t>
      </w:r>
      <w:r w:rsidR="001B5EB7" w:rsidRPr="00876921">
        <w:rPr>
          <w:rFonts w:eastAsia="Times New Roman"/>
        </w:rPr>
        <w:t>[</w:t>
      </w:r>
      <w:r w:rsidR="00725CB1" w:rsidRPr="00876921">
        <w:rPr>
          <w:rFonts w:eastAsia="Times New Roman"/>
        </w:rPr>
        <w:t>2006</w:t>
      </w:r>
      <w:r w:rsidR="001B5EB7" w:rsidRPr="00876921">
        <w:rPr>
          <w:rFonts w:eastAsia="Times New Roman"/>
        </w:rPr>
        <w:t>]</w:t>
      </w:r>
      <w:r w:rsidR="00725CB1" w:rsidRPr="00876921">
        <w:rPr>
          <w:rFonts w:eastAsia="Times New Roman"/>
        </w:rPr>
        <w:t>)</w:t>
      </w:r>
      <w:r w:rsidR="005E3983" w:rsidRPr="00876921">
        <w:rPr>
          <w:rFonts w:eastAsia="Times New Roman"/>
        </w:rPr>
        <w:t>.</w:t>
      </w:r>
      <w:r w:rsidR="00725CB1" w:rsidRPr="00876921">
        <w:rPr>
          <w:rFonts w:eastAsia="Times New Roman"/>
        </w:rPr>
        <w:t xml:space="preserve"> </w:t>
      </w:r>
    </w:p>
    <w:p w14:paraId="16B763B8" w14:textId="77777777" w:rsidR="00725CB1" w:rsidRPr="00876921" w:rsidRDefault="00725CB1" w:rsidP="00876921">
      <w:pPr>
        <w:spacing w:before="0"/>
        <w:jc w:val="both"/>
      </w:pPr>
    </w:p>
    <w:p w14:paraId="364898DD" w14:textId="29A4EF00" w:rsidR="00DB2E75" w:rsidRPr="00876921" w:rsidRDefault="00342A33" w:rsidP="00342A33">
      <w:pPr>
        <w:tabs>
          <w:tab w:val="left" w:pos="720"/>
        </w:tabs>
        <w:spacing w:before="0"/>
        <w:jc w:val="both"/>
      </w:pPr>
      <w:r>
        <w:tab/>
      </w:r>
      <w:r w:rsidR="00132A25" w:rsidRPr="00876921">
        <w:t>In New York, to</w:t>
      </w:r>
      <w:r w:rsidR="00684320" w:rsidRPr="00876921">
        <w:t xml:space="preserve"> determine the effect of an “ex</w:t>
      </w:r>
      <w:r w:rsidR="001849BF" w:rsidRPr="00876921">
        <w:t>clusion</w:t>
      </w:r>
      <w:r w:rsidR="00684320" w:rsidRPr="00876921">
        <w:t>,”</w:t>
      </w:r>
      <w:r w:rsidR="002B3A93" w:rsidRPr="00876921">
        <w:t xml:space="preserve"> </w:t>
      </w:r>
      <w:r w:rsidR="002F549B" w:rsidRPr="00876921">
        <w:t xml:space="preserve">courts </w:t>
      </w:r>
      <w:r w:rsidR="00AC2BEB" w:rsidRPr="00876921">
        <w:t>look to</w:t>
      </w:r>
      <w:r w:rsidR="002B3A93" w:rsidRPr="00876921">
        <w:t xml:space="preserve"> the legislative intent</w:t>
      </w:r>
      <w:r w:rsidR="00976CBE" w:rsidRPr="00876921">
        <w:t>,</w:t>
      </w:r>
      <w:r w:rsidR="002B3A93" w:rsidRPr="00876921">
        <w:t xml:space="preserve"> which, unless expressly stated,</w:t>
      </w:r>
      <w:r w:rsidR="00751740" w:rsidRPr="00876921">
        <w:t xml:space="preserve"> </w:t>
      </w:r>
      <w:r w:rsidR="00BD683C" w:rsidRPr="00876921">
        <w:t>assumes</w:t>
      </w:r>
      <w:r w:rsidR="001776CC" w:rsidRPr="00876921">
        <w:t xml:space="preserve"> the application </w:t>
      </w:r>
      <w:r w:rsidR="00B35959" w:rsidRPr="00876921">
        <w:t xml:space="preserve">of </w:t>
      </w:r>
      <w:r w:rsidR="00697B04" w:rsidRPr="00876921">
        <w:t>“</w:t>
      </w:r>
      <w:r w:rsidR="00B35959" w:rsidRPr="00876921">
        <w:t>common sense and reasonable pleading</w:t>
      </w:r>
      <w:r w:rsidR="00561181" w:rsidRPr="00876921">
        <w:t>”</w:t>
      </w:r>
      <w:r w:rsidR="005E3983" w:rsidRPr="00876921">
        <w:t xml:space="preserve"> </w:t>
      </w:r>
      <w:r w:rsidR="00091B41" w:rsidRPr="00876921">
        <w:t>(</w:t>
      </w:r>
      <w:r w:rsidR="00697B04" w:rsidRPr="00876921">
        <w:rPr>
          <w:i/>
          <w:iCs/>
        </w:rPr>
        <w:t>De</w:t>
      </w:r>
      <w:r w:rsidR="00F74A8F" w:rsidRPr="00876921">
        <w:rPr>
          <w:i/>
          <w:iCs/>
        </w:rPr>
        <w:t>v</w:t>
      </w:r>
      <w:r w:rsidR="005E4F24" w:rsidRPr="00876921">
        <w:rPr>
          <w:i/>
          <w:iCs/>
        </w:rPr>
        <w:t>inny</w:t>
      </w:r>
      <w:r w:rsidR="00697B04" w:rsidRPr="00876921">
        <w:t xml:space="preserve"> at </w:t>
      </w:r>
      <w:r w:rsidR="00556B16" w:rsidRPr="00876921">
        <w:t>401</w:t>
      </w:r>
      <w:r w:rsidR="00454B25" w:rsidRPr="00876921">
        <w:t xml:space="preserve"> </w:t>
      </w:r>
      <w:r w:rsidR="00556B16" w:rsidRPr="00876921">
        <w:t>[“</w:t>
      </w:r>
      <w:r w:rsidR="002B3C3E" w:rsidRPr="00876921">
        <w:t xml:space="preserve">The two classes of </w:t>
      </w:r>
      <w:r w:rsidR="000F6462" w:rsidRPr="00876921">
        <w:rPr>
          <w:lang w:val="en-CA"/>
        </w:rPr>
        <w:fldChar w:fldCharType="begin"/>
      </w:r>
      <w:r w:rsidR="000F6462" w:rsidRPr="00876921">
        <w:rPr>
          <w:lang w:val="en-CA"/>
        </w:rPr>
        <w:instrText xml:space="preserve"> SEQ CHAPTER \h \r 1</w:instrText>
      </w:r>
      <w:r w:rsidR="000F6462" w:rsidRPr="00876921">
        <w:fldChar w:fldCharType="end"/>
      </w:r>
      <w:r w:rsidR="000F6462" w:rsidRPr="00876921">
        <w:t>provisions—exceptions and provisos—frequently come closely together and the rule of differentiation ought to be so applied as to comply with the requirements of common sense and reasonable pleading</w:t>
      </w:r>
      <w:r w:rsidR="00764AC5" w:rsidRPr="00876921">
        <w:t>”</w:t>
      </w:r>
      <w:r w:rsidR="002B3C3E" w:rsidRPr="00876921">
        <w:t>];</w:t>
      </w:r>
      <w:r w:rsidR="005E3983" w:rsidRPr="00876921">
        <w:t xml:space="preserve"> </w:t>
      </w:r>
      <w:r w:rsidR="00F6163B" w:rsidRPr="00876921">
        <w:rPr>
          <w:i/>
          <w:iCs/>
        </w:rPr>
        <w:t>Santana</w:t>
      </w:r>
      <w:r w:rsidR="00F6163B" w:rsidRPr="00876921">
        <w:t xml:space="preserve">, 7 NY3d </w:t>
      </w:r>
      <w:r w:rsidR="00EC6337" w:rsidRPr="00876921">
        <w:t>at</w:t>
      </w:r>
      <w:r w:rsidR="00F6163B" w:rsidRPr="00876921">
        <w:t xml:space="preserve"> 237</w:t>
      </w:r>
      <w:r w:rsidR="005E3983" w:rsidRPr="00876921">
        <w:t xml:space="preserve"> </w:t>
      </w:r>
      <w:r w:rsidR="00F6163B" w:rsidRPr="00876921">
        <w:t>[“As a matter of ‘common sense and reasonable pleading’ (</w:t>
      </w:r>
      <w:r w:rsidR="00F6163B" w:rsidRPr="00876921">
        <w:rPr>
          <w:i/>
          <w:iCs/>
        </w:rPr>
        <w:t>People v Devinny</w:t>
      </w:r>
      <w:r w:rsidR="00F6163B" w:rsidRPr="00876921">
        <w:t xml:space="preserve">, 227 NY 397, 401 [1919]), we do not believe that the Legislature intended to require the People to negate” the exception </w:t>
      </w:r>
      <w:r w:rsidR="00743660" w:rsidRPr="00876921">
        <w:t xml:space="preserve">in issue]; </w:t>
      </w:r>
      <w:r w:rsidR="00697B04" w:rsidRPr="00876921">
        <w:rPr>
          <w:i/>
          <w:iCs/>
        </w:rPr>
        <w:t>Davis</w:t>
      </w:r>
      <w:r w:rsidR="00697B04" w:rsidRPr="00876921">
        <w:t xml:space="preserve"> at </w:t>
      </w:r>
      <w:r w:rsidR="008C2F77" w:rsidRPr="00876921">
        <w:t>31</w:t>
      </w:r>
      <w:r w:rsidR="00091B41" w:rsidRPr="00876921">
        <w:t>)</w:t>
      </w:r>
      <w:r w:rsidR="00C46EE9">
        <w:t>.</w:t>
      </w:r>
    </w:p>
    <w:p w14:paraId="6A174C76" w14:textId="77777777" w:rsidR="00DB2E75" w:rsidRPr="00876921" w:rsidRDefault="00DB2E75" w:rsidP="00876921">
      <w:pPr>
        <w:spacing w:before="0"/>
        <w:jc w:val="both"/>
      </w:pPr>
    </w:p>
    <w:p w14:paraId="6345C327" w14:textId="560AFCCF" w:rsidR="002B3A93" w:rsidRPr="00876921" w:rsidRDefault="00342A33" w:rsidP="00342A33">
      <w:pPr>
        <w:tabs>
          <w:tab w:val="left" w:pos="720"/>
        </w:tabs>
        <w:spacing w:before="0"/>
        <w:jc w:val="both"/>
      </w:pPr>
      <w:r>
        <w:tab/>
      </w:r>
      <w:r w:rsidR="00FF13A4" w:rsidRPr="00876921">
        <w:t xml:space="preserve">Factors </w:t>
      </w:r>
      <w:r w:rsidR="00BC4BEB" w:rsidRPr="00876921">
        <w:t>that may be considered to determine legislative intent</w:t>
      </w:r>
      <w:r w:rsidR="002B3A93" w:rsidRPr="00876921">
        <w:t xml:space="preserve"> include: </w:t>
      </w:r>
      <w:r w:rsidR="00454B25" w:rsidRPr="00876921">
        <w:t>(</w:t>
      </w:r>
      <w:r w:rsidR="002B3A93" w:rsidRPr="00876921">
        <w:t>1</w:t>
      </w:r>
      <w:r w:rsidR="00454B25" w:rsidRPr="00876921">
        <w:t>)</w:t>
      </w:r>
      <w:r w:rsidR="002B3A93" w:rsidRPr="00876921">
        <w:t xml:space="preserve"> is the exclusion set forth inside the definition of the penal offense or outside that definition in another statute</w:t>
      </w:r>
      <w:r w:rsidR="00651DDE" w:rsidRPr="00876921">
        <w:t>;</w:t>
      </w:r>
      <w:r w:rsidR="002B3A93" w:rsidRPr="00876921">
        <w:t xml:space="preserve"> or </w:t>
      </w:r>
      <w:r w:rsidR="00454B25" w:rsidRPr="00876921">
        <w:t>(</w:t>
      </w:r>
      <w:r w:rsidR="002B3A93" w:rsidRPr="00876921">
        <w:t>2</w:t>
      </w:r>
      <w:r w:rsidR="00454B25" w:rsidRPr="00876921">
        <w:t>)</w:t>
      </w:r>
      <w:r w:rsidR="002B3A93" w:rsidRPr="00876921">
        <w:t xml:space="preserve"> if the exclusion is defined inside the definition of the penal offense, does it reference a statute outside the definition of the offense; </w:t>
      </w:r>
      <w:r w:rsidR="00454B25" w:rsidRPr="00876921">
        <w:t>(</w:t>
      </w:r>
      <w:r w:rsidR="002B3A93" w:rsidRPr="00876921">
        <w:t>3</w:t>
      </w:r>
      <w:r w:rsidR="00454B25" w:rsidRPr="00876921">
        <w:t xml:space="preserve">) </w:t>
      </w:r>
      <w:r w:rsidR="002B3A93" w:rsidRPr="00876921">
        <w:t>does the exclusion require the People to go to “intolerable lengths” to plead and negate the exclusion</w:t>
      </w:r>
      <w:r w:rsidR="00513CA4" w:rsidRPr="00876921">
        <w:t>;</w:t>
      </w:r>
      <w:r w:rsidR="00595170" w:rsidRPr="00876921">
        <w:t xml:space="preserve"> and </w:t>
      </w:r>
      <w:r w:rsidR="00454B25" w:rsidRPr="00876921">
        <w:t>(</w:t>
      </w:r>
      <w:r w:rsidR="00595170" w:rsidRPr="00876921">
        <w:t>4</w:t>
      </w:r>
      <w:r w:rsidR="00454B25" w:rsidRPr="00876921">
        <w:t xml:space="preserve">) </w:t>
      </w:r>
      <w:r w:rsidR="00595170" w:rsidRPr="00876921">
        <w:t>does the exclusion recite facts “uniquely within a defendant’s knowledge”</w:t>
      </w:r>
      <w:r w:rsidR="000A6660" w:rsidRPr="00876921">
        <w:t xml:space="preserve"> </w:t>
      </w:r>
      <w:r w:rsidR="000924B2" w:rsidRPr="00876921">
        <w:t>(</w:t>
      </w:r>
      <w:r w:rsidR="002B3A93" w:rsidRPr="00876921">
        <w:rPr>
          <w:i/>
          <w:iCs/>
        </w:rPr>
        <w:t>Davis</w:t>
      </w:r>
      <w:r w:rsidR="002B3A93" w:rsidRPr="00876921">
        <w:t xml:space="preserve"> at 31</w:t>
      </w:r>
      <w:r w:rsidR="00BC4BEB" w:rsidRPr="00876921">
        <w:t>-</w:t>
      </w:r>
      <w:r w:rsidR="002B3A93" w:rsidRPr="00876921">
        <w:t>32</w:t>
      </w:r>
      <w:r w:rsidR="000924B2" w:rsidRPr="00876921">
        <w:t>).</w:t>
      </w:r>
    </w:p>
    <w:p w14:paraId="40DF5C87" w14:textId="77777777" w:rsidR="00791846" w:rsidRPr="00876921" w:rsidRDefault="00791846" w:rsidP="00342A33">
      <w:pPr>
        <w:spacing w:before="0"/>
        <w:jc w:val="both"/>
      </w:pPr>
    </w:p>
    <w:bookmarkEnd w:id="2"/>
    <w:p w14:paraId="73845111" w14:textId="51252B6F" w:rsidR="00D9032E" w:rsidRPr="00876921" w:rsidRDefault="00342A33" w:rsidP="00342A33">
      <w:pPr>
        <w:tabs>
          <w:tab w:val="left" w:pos="720"/>
        </w:tabs>
        <w:spacing w:before="0"/>
        <w:jc w:val="both"/>
        <w:rPr>
          <w:rFonts w:eastAsia="Times New Roman"/>
        </w:rPr>
      </w:pPr>
      <w:r>
        <w:rPr>
          <w:rFonts w:eastAsia="Calibri"/>
          <w:b/>
          <w:bCs/>
        </w:rPr>
        <w:tab/>
      </w:r>
      <w:r w:rsidR="00D9032E" w:rsidRPr="00876921">
        <w:rPr>
          <w:rFonts w:eastAsia="Calibri"/>
          <w:b/>
          <w:bCs/>
        </w:rPr>
        <w:t xml:space="preserve">Subdivision (2) </w:t>
      </w:r>
      <w:r w:rsidR="008F6F15" w:rsidRPr="00876921">
        <w:rPr>
          <w:rFonts w:eastAsia="Calibri"/>
        </w:rPr>
        <w:t>recite</w:t>
      </w:r>
      <w:r w:rsidR="00C530BC" w:rsidRPr="00876921">
        <w:rPr>
          <w:rFonts w:eastAsia="Calibri"/>
        </w:rPr>
        <w:t>s</w:t>
      </w:r>
      <w:r w:rsidR="008F6F15" w:rsidRPr="00876921">
        <w:rPr>
          <w:rFonts w:eastAsia="Calibri"/>
        </w:rPr>
        <w:t xml:space="preserve"> the rule </w:t>
      </w:r>
      <w:r w:rsidR="009771E8" w:rsidRPr="00876921">
        <w:rPr>
          <w:rFonts w:eastAsia="Calibri"/>
        </w:rPr>
        <w:t xml:space="preserve">as </w:t>
      </w:r>
      <w:r w:rsidR="000A6660" w:rsidRPr="00876921">
        <w:rPr>
          <w:rFonts w:eastAsia="Calibri"/>
        </w:rPr>
        <w:t>summarized</w:t>
      </w:r>
      <w:r w:rsidR="008F6F15" w:rsidRPr="00876921">
        <w:rPr>
          <w:rFonts w:eastAsia="Calibri"/>
        </w:rPr>
        <w:t xml:space="preserve"> in </w:t>
      </w:r>
      <w:r w:rsidR="00D9032E" w:rsidRPr="00876921">
        <w:rPr>
          <w:rFonts w:eastAsia="Calibri"/>
          <w:i/>
          <w:iCs/>
          <w:lang w:val="en-PH"/>
        </w:rPr>
        <w:t>People v Kohut</w:t>
      </w:r>
      <w:r w:rsidR="00D9032E" w:rsidRPr="00876921">
        <w:rPr>
          <w:rFonts w:eastAsia="Calibri"/>
          <w:lang w:val="en-PH"/>
        </w:rPr>
        <w:t xml:space="preserve"> </w:t>
      </w:r>
      <w:r w:rsidR="00454B25" w:rsidRPr="00876921">
        <w:rPr>
          <w:rFonts w:eastAsia="Calibri"/>
          <w:lang w:val="en-PH"/>
        </w:rPr>
        <w:t>(</w:t>
      </w:r>
      <w:r w:rsidR="00D9032E" w:rsidRPr="00876921">
        <w:rPr>
          <w:rFonts w:eastAsia="Calibri"/>
          <w:lang w:val="en-PH"/>
        </w:rPr>
        <w:t>30 NY2d 183</w:t>
      </w:r>
      <w:r w:rsidR="00454B25" w:rsidRPr="00876921">
        <w:rPr>
          <w:rFonts w:eastAsia="Calibri"/>
          <w:lang w:val="en-PH"/>
        </w:rPr>
        <w:t>, 1</w:t>
      </w:r>
      <w:r w:rsidR="003D7C76">
        <w:rPr>
          <w:rFonts w:eastAsia="Calibri"/>
          <w:lang w:val="en-PH"/>
        </w:rPr>
        <w:t>8</w:t>
      </w:r>
      <w:r w:rsidR="00454B25" w:rsidRPr="00876921">
        <w:rPr>
          <w:rFonts w:eastAsia="Calibri"/>
          <w:lang w:val="en-PH"/>
        </w:rPr>
        <w:t xml:space="preserve">7 </w:t>
      </w:r>
      <w:r w:rsidR="00D9032E" w:rsidRPr="00876921">
        <w:rPr>
          <w:rFonts w:eastAsia="Calibri"/>
          <w:lang w:val="en-PH"/>
        </w:rPr>
        <w:t>[1972]</w:t>
      </w:r>
      <w:r w:rsidR="00454B25" w:rsidRPr="00876921">
        <w:rPr>
          <w:rFonts w:eastAsia="Calibri"/>
          <w:lang w:val="en-PH"/>
        </w:rPr>
        <w:t>)</w:t>
      </w:r>
      <w:r w:rsidR="00632710" w:rsidRPr="00876921">
        <w:rPr>
          <w:rFonts w:eastAsia="Calibri"/>
          <w:lang w:val="en-PH"/>
        </w:rPr>
        <w:t>, namely,</w:t>
      </w:r>
      <w:r w:rsidR="00D9032E" w:rsidRPr="00876921">
        <w:rPr>
          <w:rFonts w:eastAsia="Calibri"/>
          <w:b/>
          <w:bCs/>
          <w:lang w:val="en-PH"/>
        </w:rPr>
        <w:t xml:space="preserve"> </w:t>
      </w:r>
      <w:r w:rsidR="00D9032E" w:rsidRPr="00876921">
        <w:rPr>
          <w:rFonts w:eastAsia="Times New Roman"/>
        </w:rPr>
        <w:t>when the ex</w:t>
      </w:r>
      <w:r w:rsidR="00534C30" w:rsidRPr="00876921">
        <w:rPr>
          <w:rFonts w:eastAsia="Times New Roman"/>
        </w:rPr>
        <w:t>clusionary language</w:t>
      </w:r>
      <w:r w:rsidR="00D9032E" w:rsidRPr="00876921">
        <w:rPr>
          <w:rFonts w:eastAsia="Times New Roman"/>
        </w:rPr>
        <w:t xml:space="preserve"> </w:t>
      </w:r>
      <w:r w:rsidR="00705201" w:rsidRPr="00876921">
        <w:rPr>
          <w:rFonts w:eastAsia="Times New Roman"/>
        </w:rPr>
        <w:t>“</w:t>
      </w:r>
      <w:r w:rsidR="00D9032E" w:rsidRPr="00876921">
        <w:rPr>
          <w:rFonts w:eastAsia="Times New Roman"/>
        </w:rPr>
        <w:t>is found outside the statute</w:t>
      </w:r>
      <w:r w:rsidR="00CC757A" w:rsidRPr="00876921">
        <w:rPr>
          <w:rFonts w:eastAsia="Times New Roman"/>
        </w:rPr>
        <w:t xml:space="preserve"> [that defines an offense]</w:t>
      </w:r>
      <w:r w:rsidR="00D9032E" w:rsidRPr="00876921">
        <w:rPr>
          <w:rFonts w:eastAsia="Times New Roman"/>
        </w:rPr>
        <w:t xml:space="preserve">, the </w:t>
      </w:r>
      <w:r w:rsidR="00CF7251" w:rsidRPr="00876921">
        <w:rPr>
          <w:rFonts w:eastAsia="Times New Roman"/>
        </w:rPr>
        <w:t>[exclusion]</w:t>
      </w:r>
      <w:r w:rsidR="00D9032E" w:rsidRPr="00876921">
        <w:rPr>
          <w:rFonts w:eastAsia="Times New Roman"/>
        </w:rPr>
        <w:t xml:space="preserve"> generally is a matter for the defendant to raise in defense, either under the general issue or by affirmative defense.”</w:t>
      </w:r>
      <w:r w:rsidR="00454B25" w:rsidRPr="00876921">
        <w:rPr>
          <w:rFonts w:eastAsia="Times New Roman"/>
        </w:rPr>
        <w:t xml:space="preserve"> </w:t>
      </w:r>
      <w:r w:rsidR="00D9032E" w:rsidRPr="00876921">
        <w:rPr>
          <w:rFonts w:eastAsia="Times New Roman"/>
        </w:rPr>
        <w:t xml:space="preserve">Following that rule, </w:t>
      </w:r>
      <w:r w:rsidR="00D9032E" w:rsidRPr="00876921">
        <w:rPr>
          <w:rFonts w:eastAsia="Times New Roman"/>
          <w:i/>
          <w:iCs/>
        </w:rPr>
        <w:t xml:space="preserve">Kohut </w:t>
      </w:r>
      <w:r w:rsidR="00D9032E" w:rsidRPr="00876921">
        <w:rPr>
          <w:rFonts w:eastAsia="Times New Roman"/>
        </w:rPr>
        <w:t xml:space="preserve">held that the indictment was not defective for “failure to allege facts tolling the Statute of Limitations,” which are found outside the statute defining the offense </w:t>
      </w:r>
      <w:bookmarkStart w:id="10" w:name="_Hlk112948558"/>
      <w:r w:rsidR="00202333" w:rsidRPr="00876921">
        <w:rPr>
          <w:rFonts w:eastAsia="Times New Roman"/>
        </w:rPr>
        <w:t>(</w:t>
      </w:r>
      <w:r w:rsidR="00D9032E" w:rsidRPr="00876921">
        <w:rPr>
          <w:rFonts w:eastAsia="Times New Roman"/>
          <w:i/>
          <w:iCs/>
        </w:rPr>
        <w:t xml:space="preserve">Kohut </w:t>
      </w:r>
      <w:r w:rsidR="00D9032E" w:rsidRPr="00876921">
        <w:rPr>
          <w:rFonts w:eastAsia="Times New Roman"/>
        </w:rPr>
        <w:t>at 195</w:t>
      </w:r>
      <w:bookmarkEnd w:id="10"/>
      <w:r w:rsidR="00202333" w:rsidRPr="00876921">
        <w:rPr>
          <w:rFonts w:eastAsia="Times New Roman"/>
        </w:rPr>
        <w:t>)</w:t>
      </w:r>
      <w:r w:rsidR="00454B25" w:rsidRPr="00876921">
        <w:rPr>
          <w:rFonts w:eastAsia="Times New Roman"/>
        </w:rPr>
        <w:t>.</w:t>
      </w:r>
    </w:p>
    <w:p w14:paraId="235C32F0" w14:textId="77777777" w:rsidR="002D0678" w:rsidRPr="00876921" w:rsidRDefault="002D0678" w:rsidP="00342A33">
      <w:pPr>
        <w:spacing w:before="0"/>
        <w:jc w:val="both"/>
        <w:rPr>
          <w:rFonts w:eastAsia="Times New Roman"/>
        </w:rPr>
      </w:pPr>
    </w:p>
    <w:p w14:paraId="336FA8D6" w14:textId="7E917141" w:rsidR="002D0678" w:rsidRPr="00876921" w:rsidRDefault="00342A33" w:rsidP="00342A33">
      <w:pPr>
        <w:tabs>
          <w:tab w:val="left" w:pos="720"/>
        </w:tabs>
        <w:spacing w:before="0"/>
        <w:jc w:val="both"/>
        <w:rPr>
          <w:rFonts w:eastAsia="Times New Roman"/>
        </w:rPr>
      </w:pPr>
      <w:r>
        <w:rPr>
          <w:rFonts w:eastAsia="Times New Roman"/>
        </w:rPr>
        <w:tab/>
      </w:r>
      <w:r w:rsidR="002D0678" w:rsidRPr="00876921">
        <w:rPr>
          <w:rFonts w:eastAsia="Times New Roman"/>
        </w:rPr>
        <w:t xml:space="preserve">A classic example </w:t>
      </w:r>
      <w:r w:rsidR="00C97667" w:rsidRPr="00876921">
        <w:rPr>
          <w:rFonts w:eastAsia="Times New Roman"/>
        </w:rPr>
        <w:t xml:space="preserve">is found in </w:t>
      </w:r>
      <w:r w:rsidR="00A61484" w:rsidRPr="00876921">
        <w:rPr>
          <w:rFonts w:eastAsia="Times New Roman"/>
        </w:rPr>
        <w:t xml:space="preserve">the </w:t>
      </w:r>
      <w:r w:rsidR="00C97667" w:rsidRPr="00876921">
        <w:rPr>
          <w:rFonts w:eastAsia="Times New Roman"/>
        </w:rPr>
        <w:t>prohibitions on possession of a firearm</w:t>
      </w:r>
      <w:r w:rsidR="00A61484" w:rsidRPr="00876921">
        <w:rPr>
          <w:rFonts w:eastAsia="Times New Roman"/>
        </w:rPr>
        <w:t xml:space="preserve"> in Penal Law article 265</w:t>
      </w:r>
      <w:r w:rsidR="00C97667" w:rsidRPr="00876921">
        <w:rPr>
          <w:rFonts w:eastAsia="Times New Roman"/>
        </w:rPr>
        <w:t xml:space="preserve">. </w:t>
      </w:r>
      <w:r w:rsidR="00D03723" w:rsidRPr="00876921">
        <w:rPr>
          <w:rFonts w:eastAsia="Times New Roman"/>
        </w:rPr>
        <w:t xml:space="preserve">The exemptions from liability for </w:t>
      </w:r>
      <w:r w:rsidR="00D50019" w:rsidRPr="00876921">
        <w:rPr>
          <w:rFonts w:eastAsia="Times New Roman"/>
        </w:rPr>
        <w:t xml:space="preserve">those possessory crimes </w:t>
      </w:r>
      <w:r w:rsidR="00E037DD" w:rsidRPr="00876921">
        <w:rPr>
          <w:rFonts w:eastAsia="Times New Roman"/>
        </w:rPr>
        <w:lastRenderedPageBreak/>
        <w:t>are</w:t>
      </w:r>
      <w:r w:rsidR="00D03723" w:rsidRPr="00876921">
        <w:rPr>
          <w:rFonts w:eastAsia="Times New Roman"/>
        </w:rPr>
        <w:t xml:space="preserve"> in a separate section </w:t>
      </w:r>
      <w:r w:rsidR="00454B25" w:rsidRPr="00876921">
        <w:rPr>
          <w:rFonts w:eastAsia="Times New Roman"/>
        </w:rPr>
        <w:t>(</w:t>
      </w:r>
      <w:r w:rsidR="00B92A17" w:rsidRPr="00876921">
        <w:rPr>
          <w:rFonts w:eastAsia="Times New Roman"/>
        </w:rPr>
        <w:t>Penal Law § 265.20</w:t>
      </w:r>
      <w:r w:rsidR="00454B25" w:rsidRPr="00876921">
        <w:rPr>
          <w:rFonts w:eastAsia="Times New Roman"/>
        </w:rPr>
        <w:t>)</w:t>
      </w:r>
      <w:r w:rsidR="00D50019" w:rsidRPr="00876921">
        <w:rPr>
          <w:rFonts w:eastAsia="Times New Roman"/>
        </w:rPr>
        <w:t>.</w:t>
      </w:r>
      <w:r w:rsidR="00454B25" w:rsidRPr="00876921">
        <w:rPr>
          <w:rFonts w:eastAsia="Times New Roman"/>
        </w:rPr>
        <w:t xml:space="preserve"> </w:t>
      </w:r>
      <w:r w:rsidR="00D50019" w:rsidRPr="00876921">
        <w:rPr>
          <w:rFonts w:eastAsia="Times New Roman"/>
        </w:rPr>
        <w:t>T</w:t>
      </w:r>
      <w:r w:rsidR="00B92A17" w:rsidRPr="00876921">
        <w:rPr>
          <w:rFonts w:eastAsia="Times New Roman"/>
        </w:rPr>
        <w:t xml:space="preserve">hus, </w:t>
      </w:r>
      <w:r w:rsidR="007C3140" w:rsidRPr="00876921">
        <w:rPr>
          <w:rFonts w:eastAsia="Times New Roman"/>
        </w:rPr>
        <w:t>the</w:t>
      </w:r>
      <w:r w:rsidR="00125C9E" w:rsidRPr="00876921">
        <w:rPr>
          <w:rFonts w:eastAsia="Times New Roman"/>
        </w:rPr>
        <w:t xml:space="preserve"> People are not obligated </w:t>
      </w:r>
      <w:r w:rsidR="00451719" w:rsidRPr="00876921">
        <w:rPr>
          <w:rFonts w:eastAsia="Times New Roman"/>
        </w:rPr>
        <w:t>to plead the</w:t>
      </w:r>
      <w:r w:rsidR="007C3140" w:rsidRPr="00876921">
        <w:rPr>
          <w:rFonts w:eastAsia="Times New Roman"/>
        </w:rPr>
        <w:t xml:space="preserve"> </w:t>
      </w:r>
      <w:r w:rsidR="0007108F" w:rsidRPr="00876921">
        <w:rPr>
          <w:rFonts w:eastAsia="Times New Roman"/>
        </w:rPr>
        <w:t xml:space="preserve">inapplicability of </w:t>
      </w:r>
      <w:r w:rsidR="00D50019" w:rsidRPr="00876921">
        <w:rPr>
          <w:rFonts w:eastAsia="Times New Roman"/>
        </w:rPr>
        <w:t xml:space="preserve">a </w:t>
      </w:r>
      <w:r w:rsidR="007C3140" w:rsidRPr="00876921">
        <w:rPr>
          <w:rFonts w:eastAsia="Times New Roman"/>
        </w:rPr>
        <w:t xml:space="preserve">statutory exemption </w:t>
      </w:r>
      <w:r w:rsidR="00A1522B" w:rsidRPr="00876921">
        <w:rPr>
          <w:rFonts w:eastAsia="Times New Roman"/>
        </w:rPr>
        <w:t>from liability</w:t>
      </w:r>
      <w:r w:rsidR="00451719" w:rsidRPr="00876921">
        <w:rPr>
          <w:rFonts w:eastAsia="Times New Roman"/>
        </w:rPr>
        <w:t>, such as ownership of a license</w:t>
      </w:r>
      <w:r w:rsidR="00D50019" w:rsidRPr="00876921">
        <w:rPr>
          <w:rFonts w:eastAsia="Times New Roman"/>
        </w:rPr>
        <w:t>,</w:t>
      </w:r>
      <w:r w:rsidR="00965479" w:rsidRPr="00876921">
        <w:rPr>
          <w:rFonts w:eastAsia="Times New Roman"/>
        </w:rPr>
        <w:t xml:space="preserve"> </w:t>
      </w:r>
      <w:r w:rsidR="00B717D7" w:rsidRPr="00876921">
        <w:rPr>
          <w:rFonts w:eastAsia="Times New Roman"/>
        </w:rPr>
        <w:t xml:space="preserve">nor are </w:t>
      </w:r>
      <w:r w:rsidR="00965479" w:rsidRPr="00876921">
        <w:rPr>
          <w:rFonts w:eastAsia="Times New Roman"/>
        </w:rPr>
        <w:t xml:space="preserve">the People obligated to disprove </w:t>
      </w:r>
      <w:r w:rsidR="00D50019" w:rsidRPr="00876921">
        <w:rPr>
          <w:rFonts w:eastAsia="Times New Roman"/>
        </w:rPr>
        <w:t xml:space="preserve">an exemption </w:t>
      </w:r>
      <w:r w:rsidR="00196B22" w:rsidRPr="00876921">
        <w:rPr>
          <w:rFonts w:eastAsia="Times New Roman"/>
        </w:rPr>
        <w:t xml:space="preserve">unless </w:t>
      </w:r>
      <w:r w:rsidR="008E52AB" w:rsidRPr="00876921">
        <w:rPr>
          <w:rFonts w:eastAsia="Times New Roman"/>
        </w:rPr>
        <w:t>the defendant place</w:t>
      </w:r>
      <w:r w:rsidR="00D50019" w:rsidRPr="00876921">
        <w:rPr>
          <w:rFonts w:eastAsia="Times New Roman"/>
        </w:rPr>
        <w:t>s it</w:t>
      </w:r>
      <w:r w:rsidR="008E52AB" w:rsidRPr="00876921">
        <w:rPr>
          <w:rFonts w:eastAsia="Times New Roman"/>
        </w:rPr>
        <w:t xml:space="preserve"> in issue</w:t>
      </w:r>
      <w:r w:rsidR="00454B25" w:rsidRPr="00876921">
        <w:rPr>
          <w:rFonts w:eastAsia="Times New Roman"/>
        </w:rPr>
        <w:t>. (</w:t>
      </w:r>
      <w:r w:rsidR="008E52AB" w:rsidRPr="00876921">
        <w:rPr>
          <w:rFonts w:eastAsia="Times New Roman"/>
          <w:i/>
          <w:iCs/>
        </w:rPr>
        <w:t>See</w:t>
      </w:r>
      <w:r w:rsidR="008E52AB" w:rsidRPr="00876921">
        <w:rPr>
          <w:rFonts w:eastAsia="Times New Roman"/>
        </w:rPr>
        <w:t xml:space="preserve"> </w:t>
      </w:r>
      <w:r w:rsidR="002D0678" w:rsidRPr="00876921">
        <w:rPr>
          <w:rFonts w:eastAsia="Times New Roman"/>
          <w:i/>
          <w:iCs/>
        </w:rPr>
        <w:t>People v Washington</w:t>
      </w:r>
      <w:r w:rsidR="002D0678" w:rsidRPr="00876921">
        <w:rPr>
          <w:rFonts w:eastAsia="Times New Roman"/>
        </w:rPr>
        <w:t>, 209 AD2d 162, 163</w:t>
      </w:r>
      <w:r w:rsidR="008E52AB" w:rsidRPr="00876921">
        <w:rPr>
          <w:rFonts w:eastAsia="Times New Roman"/>
        </w:rPr>
        <w:t xml:space="preserve"> </w:t>
      </w:r>
      <w:r w:rsidR="002D0678" w:rsidRPr="00876921">
        <w:rPr>
          <w:rFonts w:eastAsia="Times New Roman"/>
        </w:rPr>
        <w:t xml:space="preserve">[1st Dept 1994], </w:t>
      </w:r>
      <w:r w:rsidR="002D0678" w:rsidRPr="00876921">
        <w:rPr>
          <w:rFonts w:eastAsia="Times New Roman"/>
          <w:i/>
          <w:iCs/>
        </w:rPr>
        <w:t>affd</w:t>
      </w:r>
      <w:r w:rsidR="002D0678" w:rsidRPr="00876921">
        <w:rPr>
          <w:rFonts w:eastAsia="Times New Roman"/>
        </w:rPr>
        <w:t xml:space="preserve"> 86 NY2d 853 [1995]</w:t>
      </w:r>
      <w:r w:rsidR="00A93334" w:rsidRPr="00876921">
        <w:rPr>
          <w:rFonts w:eastAsia="Times New Roman"/>
        </w:rPr>
        <w:t>.</w:t>
      </w:r>
      <w:r w:rsidR="005D6F65" w:rsidRPr="00876921">
        <w:rPr>
          <w:rFonts w:eastAsia="Times New Roman"/>
        </w:rPr>
        <w:t>)</w:t>
      </w:r>
    </w:p>
    <w:p w14:paraId="7F37C712" w14:textId="77777777" w:rsidR="00A61484" w:rsidRPr="00876921" w:rsidRDefault="00A61484" w:rsidP="00876921">
      <w:pPr>
        <w:spacing w:before="0"/>
        <w:jc w:val="both"/>
        <w:rPr>
          <w:rFonts w:eastAsia="Times New Roman"/>
        </w:rPr>
      </w:pPr>
    </w:p>
    <w:p w14:paraId="7272B076" w14:textId="2C5B2B3A" w:rsidR="00894221" w:rsidRPr="00876921" w:rsidRDefault="00342A33" w:rsidP="00342A33">
      <w:pPr>
        <w:tabs>
          <w:tab w:val="left" w:pos="720"/>
        </w:tabs>
        <w:spacing w:before="0"/>
        <w:jc w:val="both"/>
        <w:rPr>
          <w:rFonts w:eastAsia="Times New Roman"/>
        </w:rPr>
      </w:pPr>
      <w:r>
        <w:rPr>
          <w:rFonts w:eastAsia="Times New Roman"/>
        </w:rPr>
        <w:tab/>
      </w:r>
      <w:r w:rsidR="00511FCD" w:rsidRPr="00876921">
        <w:rPr>
          <w:rFonts w:eastAsia="Times New Roman"/>
        </w:rPr>
        <w:t xml:space="preserve">Even though </w:t>
      </w:r>
      <w:r w:rsidR="008D35A8" w:rsidRPr="00876921">
        <w:rPr>
          <w:rFonts w:eastAsia="Times New Roman"/>
        </w:rPr>
        <w:t xml:space="preserve">the exclusionary language </w:t>
      </w:r>
      <w:r w:rsidR="00511FCD" w:rsidRPr="00876921">
        <w:rPr>
          <w:rFonts w:eastAsia="Times New Roman"/>
        </w:rPr>
        <w:t>may be recited in the definition of the offense</w:t>
      </w:r>
      <w:r w:rsidR="001C4BBB" w:rsidRPr="00876921">
        <w:rPr>
          <w:rFonts w:eastAsia="Times New Roman"/>
        </w:rPr>
        <w:t>, it</w:t>
      </w:r>
      <w:r w:rsidR="001D4F9F" w:rsidRPr="00876921">
        <w:rPr>
          <w:rFonts w:eastAsia="Times New Roman"/>
        </w:rPr>
        <w:t xml:space="preserve"> may </w:t>
      </w:r>
      <w:r w:rsidR="001C4BBB" w:rsidRPr="00876921">
        <w:rPr>
          <w:rFonts w:eastAsia="Times New Roman"/>
        </w:rPr>
        <w:t xml:space="preserve">yet </w:t>
      </w:r>
      <w:r w:rsidR="001D4F9F" w:rsidRPr="00876921">
        <w:rPr>
          <w:rFonts w:eastAsia="Times New Roman"/>
        </w:rPr>
        <w:t xml:space="preserve">be </w:t>
      </w:r>
      <w:r w:rsidR="000833A8" w:rsidRPr="00876921">
        <w:rPr>
          <w:rFonts w:eastAsia="Times New Roman"/>
        </w:rPr>
        <w:t>held</w:t>
      </w:r>
      <w:r w:rsidR="001D4F9F" w:rsidRPr="00876921">
        <w:rPr>
          <w:rFonts w:eastAsia="Times New Roman"/>
        </w:rPr>
        <w:t xml:space="preserve"> to be outside </w:t>
      </w:r>
      <w:r w:rsidR="00004BD2" w:rsidRPr="00876921">
        <w:rPr>
          <w:rFonts w:eastAsia="Times New Roman"/>
        </w:rPr>
        <w:t xml:space="preserve">the statute defining the offense when the </w:t>
      </w:r>
      <w:r w:rsidR="00DF4961" w:rsidRPr="00876921">
        <w:rPr>
          <w:rFonts w:eastAsia="Times New Roman"/>
        </w:rPr>
        <w:t>exclusionary language</w:t>
      </w:r>
      <w:r w:rsidR="00ED158B" w:rsidRPr="00876921">
        <w:rPr>
          <w:rFonts w:eastAsia="Times New Roman"/>
        </w:rPr>
        <w:t xml:space="preserve"> incorporates the application of a statute that is outside the statute defining the offense</w:t>
      </w:r>
      <w:r w:rsidR="005C173E" w:rsidRPr="00876921">
        <w:rPr>
          <w:rFonts w:eastAsia="Times New Roman"/>
        </w:rPr>
        <w:t xml:space="preserve"> </w:t>
      </w:r>
      <w:r w:rsidR="00202333" w:rsidRPr="00876921">
        <w:rPr>
          <w:rFonts w:eastAsia="Times New Roman"/>
        </w:rPr>
        <w:t>(</w:t>
      </w:r>
      <w:r w:rsidR="00ED158B" w:rsidRPr="00876921">
        <w:rPr>
          <w:rFonts w:eastAsia="Times New Roman"/>
          <w:i/>
          <w:iCs/>
        </w:rPr>
        <w:t>Santana</w:t>
      </w:r>
      <w:r w:rsidR="00ED158B" w:rsidRPr="00876921">
        <w:rPr>
          <w:rFonts w:eastAsia="Times New Roman"/>
        </w:rPr>
        <w:t>, 7 NY3d 234</w:t>
      </w:r>
      <w:r w:rsidR="003C3DA9" w:rsidRPr="00876921">
        <w:rPr>
          <w:rFonts w:eastAsia="Times New Roman"/>
        </w:rPr>
        <w:t>)</w:t>
      </w:r>
      <w:r w:rsidR="005C173E" w:rsidRPr="00876921">
        <w:rPr>
          <w:rFonts w:eastAsia="Times New Roman"/>
        </w:rPr>
        <w:t xml:space="preserve">. </w:t>
      </w:r>
      <w:r w:rsidR="00F74114" w:rsidRPr="00876921">
        <w:rPr>
          <w:rFonts w:eastAsia="Times New Roman"/>
        </w:rPr>
        <w:t xml:space="preserve">In </w:t>
      </w:r>
      <w:r w:rsidR="00F74114" w:rsidRPr="00876921">
        <w:rPr>
          <w:rFonts w:eastAsia="Times New Roman"/>
          <w:i/>
          <w:iCs/>
        </w:rPr>
        <w:t>Santana</w:t>
      </w:r>
      <w:r w:rsidR="00F74114" w:rsidRPr="00876921">
        <w:rPr>
          <w:rFonts w:eastAsia="Times New Roman"/>
        </w:rPr>
        <w:t xml:space="preserve">, </w:t>
      </w:r>
      <w:r w:rsidR="001455DB" w:rsidRPr="00876921">
        <w:rPr>
          <w:rFonts w:eastAsia="Times New Roman"/>
        </w:rPr>
        <w:t>the defendant was charged</w:t>
      </w:r>
      <w:r w:rsidR="00493523" w:rsidRPr="00876921">
        <w:rPr>
          <w:rFonts w:eastAsia="Times New Roman"/>
        </w:rPr>
        <w:t xml:space="preserve"> with</w:t>
      </w:r>
      <w:r w:rsidR="001455DB" w:rsidRPr="00876921">
        <w:rPr>
          <w:rFonts w:eastAsia="Times New Roman"/>
        </w:rPr>
        <w:t xml:space="preserve"> </w:t>
      </w:r>
      <w:r w:rsidR="003B47CB" w:rsidRPr="00876921">
        <w:rPr>
          <w:rFonts w:eastAsia="Times New Roman"/>
        </w:rPr>
        <w:t xml:space="preserve">“criminal contempt in the second degree” </w:t>
      </w:r>
      <w:r w:rsidR="005C173E" w:rsidRPr="00876921">
        <w:rPr>
          <w:rFonts w:eastAsia="Times New Roman"/>
        </w:rPr>
        <w:t>(</w:t>
      </w:r>
      <w:r w:rsidR="003B58AE" w:rsidRPr="00876921">
        <w:rPr>
          <w:rFonts w:eastAsia="Times New Roman"/>
        </w:rPr>
        <w:t xml:space="preserve">Penal Law § </w:t>
      </w:r>
      <w:r w:rsidR="003B47CB" w:rsidRPr="00876921">
        <w:rPr>
          <w:rFonts w:eastAsia="Times New Roman"/>
        </w:rPr>
        <w:t>215.50</w:t>
      </w:r>
      <w:r w:rsidR="004F79D5" w:rsidRPr="00876921">
        <w:rPr>
          <w:rFonts w:eastAsia="Times New Roman"/>
        </w:rPr>
        <w:t xml:space="preserve"> [3]</w:t>
      </w:r>
      <w:r w:rsidR="005C173E" w:rsidRPr="00876921">
        <w:rPr>
          <w:rFonts w:eastAsia="Times New Roman"/>
        </w:rPr>
        <w:t>)</w:t>
      </w:r>
      <w:r w:rsidR="00A51CF3" w:rsidRPr="00876921">
        <w:rPr>
          <w:rFonts w:eastAsia="Times New Roman"/>
        </w:rPr>
        <w:t>.</w:t>
      </w:r>
      <w:r w:rsidR="004F79D5" w:rsidRPr="00876921">
        <w:rPr>
          <w:rFonts w:eastAsia="Times New Roman"/>
        </w:rPr>
        <w:t xml:space="preserve"> </w:t>
      </w:r>
      <w:r w:rsidR="00A51CF3" w:rsidRPr="00876921">
        <w:rPr>
          <w:rFonts w:eastAsia="Times New Roman"/>
        </w:rPr>
        <w:t xml:space="preserve">The definition of the offense required intentional disobedience or resistance </w:t>
      </w:r>
      <w:r w:rsidR="0030518C" w:rsidRPr="00876921">
        <w:rPr>
          <w:rFonts w:eastAsia="Times New Roman"/>
        </w:rPr>
        <w:t xml:space="preserve">of a court order “except in cases involving or growing out of labor disputes as defined by </w:t>
      </w:r>
      <w:r w:rsidR="00E53599" w:rsidRPr="00876921">
        <w:rPr>
          <w:rFonts w:eastAsia="Times New Roman"/>
        </w:rPr>
        <w:t>[Judiciary Law § 753-a (2)]</w:t>
      </w:r>
      <w:r w:rsidR="001E1036" w:rsidRPr="00876921">
        <w:rPr>
          <w:rFonts w:eastAsia="Times New Roman"/>
        </w:rPr>
        <w:t>.”</w:t>
      </w:r>
      <w:r w:rsidR="004F79D5" w:rsidRPr="00876921">
        <w:rPr>
          <w:rFonts w:eastAsia="Times New Roman"/>
        </w:rPr>
        <w:t xml:space="preserve"> </w:t>
      </w:r>
      <w:r w:rsidR="00580D12" w:rsidRPr="00876921">
        <w:rPr>
          <w:rFonts w:eastAsia="Times New Roman"/>
        </w:rPr>
        <w:t>Th</w:t>
      </w:r>
      <w:r w:rsidR="009A4943" w:rsidRPr="00876921">
        <w:rPr>
          <w:rFonts w:eastAsia="Times New Roman"/>
        </w:rPr>
        <w:t xml:space="preserve">at </w:t>
      </w:r>
      <w:r w:rsidR="00192F51" w:rsidRPr="00876921">
        <w:rPr>
          <w:rFonts w:eastAsia="Times New Roman"/>
        </w:rPr>
        <w:t>“</w:t>
      </w:r>
      <w:r w:rsidR="00580D12" w:rsidRPr="00876921">
        <w:rPr>
          <w:rFonts w:eastAsia="Times New Roman"/>
        </w:rPr>
        <w:t>exclusionary language</w:t>
      </w:r>
      <w:r w:rsidR="00192F51" w:rsidRPr="00876921">
        <w:rPr>
          <w:rFonts w:eastAsia="Times New Roman"/>
        </w:rPr>
        <w:t>”</w:t>
      </w:r>
      <w:r w:rsidR="00580D12" w:rsidRPr="00876921">
        <w:rPr>
          <w:rFonts w:eastAsia="Times New Roman"/>
        </w:rPr>
        <w:t xml:space="preserve"> in </w:t>
      </w:r>
      <w:r w:rsidR="00192F51" w:rsidRPr="00876921">
        <w:rPr>
          <w:rFonts w:eastAsia="Times New Roman"/>
        </w:rPr>
        <w:t>the</w:t>
      </w:r>
      <w:r w:rsidR="007403AF" w:rsidRPr="00876921">
        <w:rPr>
          <w:rFonts w:eastAsia="Times New Roman"/>
        </w:rPr>
        <w:t xml:space="preserve"> Penal Law</w:t>
      </w:r>
      <w:r w:rsidR="00192F51" w:rsidRPr="00876921">
        <w:rPr>
          <w:rFonts w:eastAsia="Times New Roman"/>
        </w:rPr>
        <w:t xml:space="preserve"> definition of</w:t>
      </w:r>
      <w:r w:rsidR="00580D12" w:rsidRPr="00876921">
        <w:rPr>
          <w:rFonts w:eastAsia="Times New Roman"/>
        </w:rPr>
        <w:t xml:space="preserve"> criminal contempt</w:t>
      </w:r>
      <w:r w:rsidR="00D1070C" w:rsidRPr="00876921">
        <w:rPr>
          <w:rFonts w:eastAsia="Times New Roman"/>
        </w:rPr>
        <w:t xml:space="preserve">, the Court </w:t>
      </w:r>
      <w:r w:rsidR="00BD78DD" w:rsidRPr="00876921">
        <w:rPr>
          <w:rFonts w:eastAsia="Times New Roman"/>
        </w:rPr>
        <w:t>stated,</w:t>
      </w:r>
      <w:r w:rsidR="00580D12" w:rsidRPr="00876921">
        <w:rPr>
          <w:rFonts w:eastAsia="Times New Roman"/>
        </w:rPr>
        <w:t xml:space="preserve"> </w:t>
      </w:r>
      <w:r w:rsidR="007403AF" w:rsidRPr="00876921">
        <w:rPr>
          <w:rFonts w:eastAsia="Times New Roman"/>
        </w:rPr>
        <w:t>“</w:t>
      </w:r>
      <w:r w:rsidR="00580D12" w:rsidRPr="00876921">
        <w:rPr>
          <w:rFonts w:eastAsia="Times New Roman"/>
        </w:rPr>
        <w:t xml:space="preserve">does not provide a complete definition of the class of cases that the Legislature intended to remove from the ambit of criminal contempt because the statute refers to a definition of </w:t>
      </w:r>
      <w:r w:rsidR="007403AF" w:rsidRPr="00876921">
        <w:rPr>
          <w:rFonts w:eastAsia="Times New Roman"/>
        </w:rPr>
        <w:t>‘</w:t>
      </w:r>
      <w:r w:rsidR="00580D12" w:rsidRPr="00876921">
        <w:rPr>
          <w:rFonts w:eastAsia="Times New Roman"/>
        </w:rPr>
        <w:t>labor disputes</w:t>
      </w:r>
      <w:r w:rsidR="007403AF" w:rsidRPr="00876921">
        <w:rPr>
          <w:rFonts w:eastAsia="Times New Roman"/>
        </w:rPr>
        <w:t>’</w:t>
      </w:r>
      <w:r w:rsidR="00580D12" w:rsidRPr="00876921">
        <w:rPr>
          <w:rFonts w:eastAsia="Times New Roman"/>
        </w:rPr>
        <w:t xml:space="preserve"> set forth </w:t>
      </w:r>
      <w:r w:rsidR="00580D12" w:rsidRPr="00876921">
        <w:rPr>
          <w:rFonts w:eastAsia="Times New Roman"/>
          <w:i/>
          <w:iCs/>
        </w:rPr>
        <w:t>outside</w:t>
      </w:r>
      <w:r w:rsidR="00580D12" w:rsidRPr="00876921">
        <w:rPr>
          <w:rFonts w:eastAsia="Times New Roman"/>
        </w:rPr>
        <w:t xml:space="preserve"> the Penal Law</w:t>
      </w:r>
      <w:r w:rsidR="00EB321B" w:rsidRPr="00876921">
        <w:rPr>
          <w:rFonts w:eastAsia="Times New Roman"/>
        </w:rPr>
        <w:t>”</w:t>
      </w:r>
      <w:r w:rsidR="00DC4A23" w:rsidRPr="00876921">
        <w:rPr>
          <w:rFonts w:eastAsia="Times New Roman"/>
        </w:rPr>
        <w:t xml:space="preserve"> </w:t>
      </w:r>
      <w:r w:rsidR="00202333" w:rsidRPr="00876921">
        <w:rPr>
          <w:rFonts w:eastAsia="Times New Roman"/>
        </w:rPr>
        <w:t>(</w:t>
      </w:r>
      <w:r w:rsidR="00DC4A23" w:rsidRPr="00876921">
        <w:rPr>
          <w:rFonts w:eastAsia="Times New Roman"/>
          <w:i/>
          <w:iCs/>
        </w:rPr>
        <w:t>Santana</w:t>
      </w:r>
      <w:r w:rsidR="00DC4A23" w:rsidRPr="00876921">
        <w:rPr>
          <w:rFonts w:eastAsia="Times New Roman"/>
        </w:rPr>
        <w:t xml:space="preserve"> at 237</w:t>
      </w:r>
      <w:r w:rsidR="004F79D5" w:rsidRPr="00876921">
        <w:rPr>
          <w:rFonts w:eastAsia="Times New Roman"/>
        </w:rPr>
        <w:t xml:space="preserve"> [emphasis added]</w:t>
      </w:r>
      <w:r w:rsidR="00202333" w:rsidRPr="00876921">
        <w:rPr>
          <w:rFonts w:eastAsia="Times New Roman"/>
        </w:rPr>
        <w:t>)</w:t>
      </w:r>
      <w:r w:rsidR="004F79D5" w:rsidRPr="00876921">
        <w:rPr>
          <w:rFonts w:eastAsia="Times New Roman"/>
        </w:rPr>
        <w:t xml:space="preserve">. </w:t>
      </w:r>
      <w:r w:rsidR="007E6E46" w:rsidRPr="00876921">
        <w:rPr>
          <w:rFonts w:eastAsia="Times New Roman"/>
        </w:rPr>
        <w:t>Also, the Court noted</w:t>
      </w:r>
      <w:r w:rsidR="000379CD" w:rsidRPr="00876921">
        <w:rPr>
          <w:rFonts w:eastAsia="Times New Roman"/>
        </w:rPr>
        <w:t>,</w:t>
      </w:r>
      <w:r w:rsidR="003C6F2A" w:rsidRPr="00876921">
        <w:rPr>
          <w:rFonts w:eastAsia="Times New Roman"/>
        </w:rPr>
        <w:t xml:space="preserve"> t</w:t>
      </w:r>
      <w:r w:rsidR="00191830" w:rsidRPr="00876921">
        <w:rPr>
          <w:rFonts w:eastAsia="Times New Roman"/>
        </w:rPr>
        <w:t>he</w:t>
      </w:r>
      <w:r w:rsidR="00DC4A23" w:rsidRPr="00876921">
        <w:rPr>
          <w:rFonts w:eastAsia="Times New Roman"/>
        </w:rPr>
        <w:t xml:space="preserve"> Judiciary Law provision “delineates the multiple circumstances that constitute ‘labor</w:t>
      </w:r>
      <w:r w:rsidR="004F79D5" w:rsidRPr="00876921">
        <w:rPr>
          <w:rFonts w:eastAsia="Times New Roman"/>
        </w:rPr>
        <w:t xml:space="preserve"> </w:t>
      </w:r>
      <w:r w:rsidR="00DC4A23" w:rsidRPr="00876921">
        <w:rPr>
          <w:rFonts w:eastAsia="Times New Roman"/>
        </w:rPr>
        <w:t>disputes’ and the various parties who can engage in such disagreements</w:t>
      </w:r>
      <w:r w:rsidR="00B36CB3" w:rsidRPr="00876921">
        <w:rPr>
          <w:rFonts w:eastAsia="Times New Roman"/>
        </w:rPr>
        <w:t>”</w:t>
      </w:r>
      <w:r w:rsidR="00967368" w:rsidRPr="00876921">
        <w:rPr>
          <w:rFonts w:eastAsia="Times New Roman"/>
        </w:rPr>
        <w:t xml:space="preserve"> </w:t>
      </w:r>
      <w:r w:rsidR="004F79D5" w:rsidRPr="00876921">
        <w:rPr>
          <w:rFonts w:eastAsia="Times New Roman"/>
        </w:rPr>
        <w:t>(</w:t>
      </w:r>
      <w:r w:rsidR="004F79D5" w:rsidRPr="00876921">
        <w:rPr>
          <w:rFonts w:eastAsia="Times New Roman"/>
          <w:i/>
          <w:iCs/>
        </w:rPr>
        <w:t>id</w:t>
      </w:r>
      <w:r w:rsidR="004F79D5" w:rsidRPr="00876921">
        <w:rPr>
          <w:rFonts w:eastAsia="Times New Roman"/>
        </w:rPr>
        <w:t>.).</w:t>
      </w:r>
      <w:r w:rsidR="00967368" w:rsidRPr="00876921">
        <w:rPr>
          <w:rFonts w:eastAsia="Times New Roman"/>
        </w:rPr>
        <w:t xml:space="preserve"> </w:t>
      </w:r>
      <w:r w:rsidR="000379CD" w:rsidRPr="00876921">
        <w:rPr>
          <w:rFonts w:eastAsia="Times New Roman"/>
        </w:rPr>
        <w:t>T</w:t>
      </w:r>
      <w:r w:rsidR="00146FD6" w:rsidRPr="00876921">
        <w:rPr>
          <w:rFonts w:eastAsia="Times New Roman"/>
        </w:rPr>
        <w:t xml:space="preserve">hus, </w:t>
      </w:r>
      <w:r w:rsidR="00151DE7" w:rsidRPr="00876921">
        <w:rPr>
          <w:rFonts w:eastAsia="Times New Roman"/>
        </w:rPr>
        <w:t>as a matter of</w:t>
      </w:r>
      <w:r w:rsidR="004F79D5" w:rsidRPr="00876921">
        <w:rPr>
          <w:rFonts w:eastAsia="Times New Roman"/>
        </w:rPr>
        <w:t xml:space="preserve"> </w:t>
      </w:r>
      <w:r w:rsidR="00151DE7" w:rsidRPr="00876921">
        <w:rPr>
          <w:rFonts w:eastAsia="Times New Roman"/>
        </w:rPr>
        <w:t>“</w:t>
      </w:r>
      <w:r w:rsidR="004F79D5" w:rsidRPr="00876921">
        <w:rPr>
          <w:rFonts w:eastAsia="Times New Roman"/>
        </w:rPr>
        <w:t xml:space="preserve"> </w:t>
      </w:r>
      <w:r w:rsidR="00151DE7" w:rsidRPr="00876921">
        <w:rPr>
          <w:rFonts w:eastAsia="Times New Roman"/>
        </w:rPr>
        <w:t>‘common sense and reasonable pleading’</w:t>
      </w:r>
      <w:r w:rsidR="00BD235C" w:rsidRPr="00876921">
        <w:rPr>
          <w:rFonts w:eastAsia="Times New Roman"/>
        </w:rPr>
        <w:t xml:space="preserve"> </w:t>
      </w:r>
      <w:r w:rsidR="00EB4E2C" w:rsidRPr="00876921">
        <w:t>. . .</w:t>
      </w:r>
      <w:r w:rsidR="004F79D5" w:rsidRPr="00876921">
        <w:t xml:space="preserve"> ,</w:t>
      </w:r>
      <w:r w:rsidR="00EB4E2C" w:rsidRPr="00876921">
        <w:t xml:space="preserve"> </w:t>
      </w:r>
      <w:r w:rsidR="001C6B82" w:rsidRPr="00876921">
        <w:t xml:space="preserve">we do not believe </w:t>
      </w:r>
      <w:r w:rsidR="00151DE7" w:rsidRPr="00876921">
        <w:rPr>
          <w:rFonts w:eastAsia="Times New Roman"/>
        </w:rPr>
        <w:t>that the Legislature intended to require the People to negate each of the alternatives specified in Judiciary Law § 753-a</w:t>
      </w:r>
      <w:r w:rsidR="006A55C6" w:rsidRPr="00876921">
        <w:rPr>
          <w:rFonts w:eastAsia="Times New Roman"/>
        </w:rPr>
        <w:t xml:space="preserve">” </w:t>
      </w:r>
      <w:r w:rsidR="00202333" w:rsidRPr="00876921">
        <w:rPr>
          <w:rFonts w:eastAsia="Times New Roman"/>
        </w:rPr>
        <w:t>(</w:t>
      </w:r>
      <w:r w:rsidR="006A55C6" w:rsidRPr="00876921">
        <w:rPr>
          <w:rFonts w:eastAsia="Times New Roman"/>
          <w:i/>
          <w:iCs/>
        </w:rPr>
        <w:t>Santana</w:t>
      </w:r>
      <w:r w:rsidR="006A55C6" w:rsidRPr="00876921">
        <w:rPr>
          <w:rFonts w:eastAsia="Times New Roman"/>
        </w:rPr>
        <w:t xml:space="preserve"> at 237</w:t>
      </w:r>
      <w:r w:rsidR="004F79D5" w:rsidRPr="00876921">
        <w:rPr>
          <w:rFonts w:eastAsia="Times New Roman"/>
        </w:rPr>
        <w:t>; s</w:t>
      </w:r>
      <w:r w:rsidR="00C85E81" w:rsidRPr="00876921">
        <w:rPr>
          <w:rFonts w:eastAsia="Times New Roman"/>
          <w:i/>
          <w:iCs/>
        </w:rPr>
        <w:t>ee Davis</w:t>
      </w:r>
      <w:r w:rsidR="00C85E81" w:rsidRPr="00876921">
        <w:rPr>
          <w:rFonts w:eastAsia="Times New Roman"/>
        </w:rPr>
        <w:t xml:space="preserve"> at </w:t>
      </w:r>
      <w:r w:rsidR="00BC26A2" w:rsidRPr="00876921">
        <w:rPr>
          <w:rFonts w:eastAsia="Times New Roman"/>
        </w:rPr>
        <w:t>31</w:t>
      </w:r>
      <w:r w:rsidR="007A7C80" w:rsidRPr="00876921">
        <w:rPr>
          <w:rFonts w:eastAsia="Times New Roman"/>
        </w:rPr>
        <w:t xml:space="preserve"> </w:t>
      </w:r>
      <w:r w:rsidR="00C85E81" w:rsidRPr="00876921">
        <w:rPr>
          <w:rFonts w:eastAsia="Times New Roman"/>
        </w:rPr>
        <w:t>[</w:t>
      </w:r>
      <w:r w:rsidR="004F79D5" w:rsidRPr="00876921">
        <w:rPr>
          <w:rFonts w:eastAsia="Times New Roman"/>
        </w:rPr>
        <w:t>“</w:t>
      </w:r>
      <w:r w:rsidR="008C41D7" w:rsidRPr="00876921">
        <w:rPr>
          <w:rFonts w:eastAsia="Times New Roman"/>
        </w:rPr>
        <w:t>I</w:t>
      </w:r>
      <w:r w:rsidR="00C85E81" w:rsidRPr="00876921">
        <w:rPr>
          <w:rFonts w:eastAsia="Times New Roman"/>
        </w:rPr>
        <w:t xml:space="preserve">n </w:t>
      </w:r>
      <w:r w:rsidR="00C85E81" w:rsidRPr="00876921">
        <w:rPr>
          <w:rFonts w:eastAsia="Times New Roman"/>
          <w:i/>
          <w:iCs/>
        </w:rPr>
        <w:t>Santana</w:t>
      </w:r>
      <w:r w:rsidR="004F79D5" w:rsidRPr="00876921">
        <w:rPr>
          <w:rFonts w:eastAsia="Times New Roman"/>
        </w:rPr>
        <w:t xml:space="preserve">, </w:t>
      </w:r>
      <w:r w:rsidR="004E2F5F" w:rsidRPr="00876921">
        <w:rPr>
          <w:rFonts w:eastAsia="Times New Roman"/>
        </w:rPr>
        <w:t xml:space="preserve">we applied the general rule that qualifying language found outside the text of a relevant Penal Law provision is in the nature of a </w:t>
      </w:r>
      <w:r w:rsidR="00967368" w:rsidRPr="00876921">
        <w:rPr>
          <w:rFonts w:eastAsia="Times New Roman"/>
        </w:rPr>
        <w:t>‘</w:t>
      </w:r>
      <w:r w:rsidR="004E2F5F" w:rsidRPr="00876921">
        <w:rPr>
          <w:rFonts w:eastAsia="Times New Roman"/>
        </w:rPr>
        <w:t>proviso</w:t>
      </w:r>
      <w:r w:rsidR="00967368" w:rsidRPr="00876921">
        <w:rPr>
          <w:rFonts w:eastAsia="Times New Roman"/>
        </w:rPr>
        <w:t xml:space="preserve">’ </w:t>
      </w:r>
      <w:r w:rsidR="004E2F5F" w:rsidRPr="00876921">
        <w:rPr>
          <w:rFonts w:eastAsia="Times New Roman"/>
        </w:rPr>
        <w:t>. .</w:t>
      </w:r>
      <w:r w:rsidR="009302E9" w:rsidRPr="00876921">
        <w:rPr>
          <w:rFonts w:eastAsia="Times New Roman"/>
        </w:rPr>
        <w:t xml:space="preserve"> </w:t>
      </w:r>
      <w:r w:rsidR="004E2F5F" w:rsidRPr="00876921">
        <w:rPr>
          <w:rFonts w:eastAsia="Times New Roman"/>
        </w:rPr>
        <w:t xml:space="preserve">. </w:t>
      </w:r>
      <w:r w:rsidR="004E2F5F" w:rsidRPr="00876921">
        <w:rPr>
          <w:spacing w:val="-2"/>
        </w:rPr>
        <w:t xml:space="preserve">but our ultimate conclusion was premised on the belief that the Legislature could not reasonably have intended the People to negate the existence of each of the myriad labor disputes delineated in </w:t>
      </w:r>
      <w:hyperlink r:id="rId8" w:history="1">
        <w:r w:rsidR="004E2F5F" w:rsidRPr="00876921">
          <w:rPr>
            <w:rStyle w:val="Hyperlink"/>
            <w:color w:val="auto"/>
            <w:spacing w:val="-2"/>
            <w:u w:val="none"/>
          </w:rPr>
          <w:t>Judiciary Law § 753</w:t>
        </w:r>
        <w:r w:rsidR="006F3446" w:rsidRPr="00876921">
          <w:rPr>
            <w:rStyle w:val="Hyperlink"/>
            <w:color w:val="auto"/>
            <w:spacing w:val="-2"/>
            <w:u w:val="none"/>
          </w:rPr>
          <w:t>-</w:t>
        </w:r>
        <w:r w:rsidR="004E2F5F" w:rsidRPr="00876921">
          <w:rPr>
            <w:rStyle w:val="Hyperlink"/>
            <w:color w:val="auto"/>
            <w:spacing w:val="-2"/>
            <w:u w:val="none"/>
          </w:rPr>
          <w:t>a</w:t>
        </w:r>
      </w:hyperlink>
      <w:r w:rsidR="006F3446" w:rsidRPr="00876921">
        <w:rPr>
          <w:spacing w:val="-2"/>
        </w:rPr>
        <w:t>”]</w:t>
      </w:r>
      <w:r w:rsidR="00202333" w:rsidRPr="00876921">
        <w:rPr>
          <w:spacing w:val="-2"/>
        </w:rPr>
        <w:t>)</w:t>
      </w:r>
      <w:r w:rsidR="00967368" w:rsidRPr="00876921">
        <w:rPr>
          <w:spacing w:val="-2"/>
        </w:rPr>
        <w:t>.</w:t>
      </w:r>
    </w:p>
    <w:p w14:paraId="2AB51691" w14:textId="77777777" w:rsidR="00A80B0D" w:rsidRPr="00876921" w:rsidRDefault="00A80B0D" w:rsidP="00342A33">
      <w:pPr>
        <w:spacing w:before="0"/>
        <w:jc w:val="both"/>
      </w:pPr>
    </w:p>
    <w:p w14:paraId="730A5CE7" w14:textId="2CB2C592" w:rsidR="00F538EC" w:rsidRPr="00876921" w:rsidRDefault="00342A33" w:rsidP="00342A33">
      <w:pPr>
        <w:tabs>
          <w:tab w:val="left" w:pos="720"/>
        </w:tabs>
        <w:spacing w:before="0"/>
        <w:jc w:val="both"/>
        <w:rPr>
          <w:bCs/>
        </w:rPr>
      </w:pPr>
      <w:r>
        <w:rPr>
          <w:b/>
        </w:rPr>
        <w:tab/>
      </w:r>
      <w:r w:rsidR="008A5886" w:rsidRPr="00876921">
        <w:rPr>
          <w:b/>
        </w:rPr>
        <w:t xml:space="preserve">Subdivision (3) </w:t>
      </w:r>
      <w:r w:rsidR="00347AD9" w:rsidRPr="00876921">
        <w:rPr>
          <w:b/>
        </w:rPr>
        <w:t>(a)</w:t>
      </w:r>
      <w:r w:rsidR="00347AD9" w:rsidRPr="00876921">
        <w:rPr>
          <w:bCs/>
        </w:rPr>
        <w:t xml:space="preserve"> sets forth the general rule </w:t>
      </w:r>
      <w:r w:rsidR="00CD3B09" w:rsidRPr="00876921">
        <w:rPr>
          <w:bCs/>
        </w:rPr>
        <w:t xml:space="preserve">that applies when the </w:t>
      </w:r>
      <w:r w:rsidR="005A73E2" w:rsidRPr="00876921">
        <w:rPr>
          <w:bCs/>
        </w:rPr>
        <w:t>exclusionary language</w:t>
      </w:r>
      <w:r w:rsidR="00CD3B09" w:rsidRPr="00876921">
        <w:rPr>
          <w:bCs/>
        </w:rPr>
        <w:t xml:space="preserve"> is wholly contained in the definition of the s</w:t>
      </w:r>
      <w:r w:rsidR="00E1433F" w:rsidRPr="00876921">
        <w:rPr>
          <w:bCs/>
        </w:rPr>
        <w:t xml:space="preserve">tatute; namely, absent intent </w:t>
      </w:r>
      <w:r w:rsidR="00D3738E" w:rsidRPr="00876921">
        <w:rPr>
          <w:bCs/>
        </w:rPr>
        <w:t xml:space="preserve">of the enacting body </w:t>
      </w:r>
      <w:r w:rsidR="00E1433F" w:rsidRPr="00876921">
        <w:rPr>
          <w:bCs/>
        </w:rPr>
        <w:t>to the contrary, the People are required to plead the</w:t>
      </w:r>
      <w:r w:rsidR="00FF0E20" w:rsidRPr="00876921">
        <w:rPr>
          <w:bCs/>
        </w:rPr>
        <w:t xml:space="preserve"> inapplicability</w:t>
      </w:r>
      <w:r w:rsidR="00CB0DAE" w:rsidRPr="00876921">
        <w:rPr>
          <w:bCs/>
        </w:rPr>
        <w:t xml:space="preserve"> of the</w:t>
      </w:r>
      <w:r w:rsidR="00E1433F" w:rsidRPr="00876921">
        <w:rPr>
          <w:bCs/>
        </w:rPr>
        <w:t xml:space="preserve"> </w:t>
      </w:r>
      <w:r w:rsidR="005A73E2" w:rsidRPr="00876921">
        <w:rPr>
          <w:bCs/>
        </w:rPr>
        <w:t>exclusionary language</w:t>
      </w:r>
      <w:r w:rsidR="00E1433F" w:rsidRPr="00876921">
        <w:rPr>
          <w:bCs/>
        </w:rPr>
        <w:t xml:space="preserve"> and at trial must disprove </w:t>
      </w:r>
      <w:r w:rsidR="005A73E2" w:rsidRPr="00876921">
        <w:rPr>
          <w:bCs/>
        </w:rPr>
        <w:t>it</w:t>
      </w:r>
      <w:r w:rsidR="00043C57" w:rsidRPr="00876921">
        <w:rPr>
          <w:bCs/>
        </w:rPr>
        <w:t>s application</w:t>
      </w:r>
      <w:r w:rsidR="00E1433F" w:rsidRPr="00876921">
        <w:rPr>
          <w:bCs/>
        </w:rPr>
        <w:t xml:space="preserve"> beyond a reasonable doubt.</w:t>
      </w:r>
      <w:r w:rsidR="00D973FF" w:rsidRPr="00876921">
        <w:rPr>
          <w:bCs/>
        </w:rPr>
        <w:t xml:space="preserve"> </w:t>
      </w:r>
      <w:r w:rsidR="00BE1206" w:rsidRPr="00876921">
        <w:rPr>
          <w:bCs/>
        </w:rPr>
        <w:t xml:space="preserve">That </w:t>
      </w:r>
      <w:r w:rsidR="009B2FA8" w:rsidRPr="00876921">
        <w:rPr>
          <w:bCs/>
        </w:rPr>
        <w:t xml:space="preserve">rule </w:t>
      </w:r>
      <w:r w:rsidR="00BE1206" w:rsidRPr="00876921">
        <w:rPr>
          <w:bCs/>
        </w:rPr>
        <w:t xml:space="preserve">is also derived from </w:t>
      </w:r>
      <w:r w:rsidR="00F538EC" w:rsidRPr="00876921">
        <w:rPr>
          <w:bCs/>
          <w:i/>
          <w:iCs/>
        </w:rPr>
        <w:t>Kohut</w:t>
      </w:r>
      <w:r w:rsidR="00F538EC" w:rsidRPr="00876921">
        <w:rPr>
          <w:bCs/>
        </w:rPr>
        <w:t xml:space="preserve"> </w:t>
      </w:r>
      <w:r w:rsidR="00967368" w:rsidRPr="00876921">
        <w:rPr>
          <w:bCs/>
        </w:rPr>
        <w:t>(</w:t>
      </w:r>
      <w:r w:rsidR="00F538EC" w:rsidRPr="00876921">
        <w:rPr>
          <w:bCs/>
        </w:rPr>
        <w:t xml:space="preserve">30 NY2d </w:t>
      </w:r>
      <w:r w:rsidR="00B972D8" w:rsidRPr="00876921">
        <w:rPr>
          <w:bCs/>
        </w:rPr>
        <w:t>at</w:t>
      </w:r>
      <w:r w:rsidR="00F538EC" w:rsidRPr="00876921">
        <w:rPr>
          <w:bCs/>
        </w:rPr>
        <w:t xml:space="preserve"> 187</w:t>
      </w:r>
      <w:r w:rsidR="00BE1206" w:rsidRPr="00876921">
        <w:rPr>
          <w:bCs/>
        </w:rPr>
        <w:t xml:space="preserve"> [“</w:t>
      </w:r>
      <w:r w:rsidR="00F538EC" w:rsidRPr="00876921">
        <w:rPr>
          <w:bCs/>
        </w:rPr>
        <w:t>If the defining statute contains an exception, the indictment must allege that the crime is not within the exception</w:t>
      </w:r>
      <w:r w:rsidR="00B972D8" w:rsidRPr="00876921">
        <w:rPr>
          <w:bCs/>
        </w:rPr>
        <w:t>”]</w:t>
      </w:r>
      <w:r w:rsidR="00967368" w:rsidRPr="00876921">
        <w:rPr>
          <w:bCs/>
        </w:rPr>
        <w:t>)</w:t>
      </w:r>
      <w:r w:rsidR="00A02F4D" w:rsidRPr="00876921">
        <w:rPr>
          <w:bCs/>
        </w:rPr>
        <w:t>.</w:t>
      </w:r>
    </w:p>
    <w:p w14:paraId="40F05865" w14:textId="77777777" w:rsidR="00A02F4D" w:rsidRPr="00876921" w:rsidRDefault="00A02F4D" w:rsidP="00342A33">
      <w:pPr>
        <w:spacing w:before="0"/>
        <w:jc w:val="both"/>
        <w:rPr>
          <w:bCs/>
        </w:rPr>
      </w:pPr>
    </w:p>
    <w:p w14:paraId="79E1AFD0" w14:textId="1A00353E" w:rsidR="00A80B0D" w:rsidRPr="00876921" w:rsidRDefault="00342A33" w:rsidP="00342A33">
      <w:pPr>
        <w:tabs>
          <w:tab w:val="left" w:pos="720"/>
        </w:tabs>
        <w:spacing w:before="0"/>
        <w:jc w:val="both"/>
        <w:rPr>
          <w:rFonts w:eastAsia="Times New Roman"/>
        </w:rPr>
      </w:pPr>
      <w:r>
        <w:rPr>
          <w:bCs/>
        </w:rPr>
        <w:tab/>
      </w:r>
      <w:r w:rsidR="00A02F4D" w:rsidRPr="00876921">
        <w:rPr>
          <w:bCs/>
        </w:rPr>
        <w:t xml:space="preserve">An example of that rule </w:t>
      </w:r>
      <w:r w:rsidR="007379FA" w:rsidRPr="00876921">
        <w:rPr>
          <w:bCs/>
        </w:rPr>
        <w:t xml:space="preserve">is </w:t>
      </w:r>
      <w:r w:rsidR="00A74620" w:rsidRPr="00876921">
        <w:rPr>
          <w:bCs/>
        </w:rPr>
        <w:t>illustrated in</w:t>
      </w:r>
      <w:r w:rsidR="002C08F2" w:rsidRPr="00876921">
        <w:rPr>
          <w:bCs/>
        </w:rPr>
        <w:t xml:space="preserve"> the definition of</w:t>
      </w:r>
      <w:r w:rsidR="00774624" w:rsidRPr="00876921">
        <w:rPr>
          <w:bCs/>
        </w:rPr>
        <w:t xml:space="preserve"> “criminal possession of a weapon” set forth in </w:t>
      </w:r>
      <w:r w:rsidR="002B3F9A" w:rsidRPr="00876921">
        <w:rPr>
          <w:bCs/>
        </w:rPr>
        <w:t>Penal Law § 265.</w:t>
      </w:r>
      <w:r w:rsidR="00C80293" w:rsidRPr="00876921">
        <w:rPr>
          <w:bCs/>
        </w:rPr>
        <w:t>03</w:t>
      </w:r>
      <w:r w:rsidR="00967368" w:rsidRPr="00876921">
        <w:rPr>
          <w:bCs/>
        </w:rPr>
        <w:t xml:space="preserve"> </w:t>
      </w:r>
      <w:r w:rsidR="00C80293" w:rsidRPr="00876921">
        <w:rPr>
          <w:bCs/>
        </w:rPr>
        <w:t>(3)</w:t>
      </w:r>
      <w:r w:rsidR="0091649A" w:rsidRPr="00876921">
        <w:rPr>
          <w:bCs/>
        </w:rPr>
        <w:t>—</w:t>
      </w:r>
      <w:r w:rsidR="00774624" w:rsidRPr="00876921">
        <w:rPr>
          <w:bCs/>
        </w:rPr>
        <w:t>formerly Penal Law § 265.02</w:t>
      </w:r>
      <w:r w:rsidR="00967368" w:rsidRPr="00876921">
        <w:rPr>
          <w:bCs/>
        </w:rPr>
        <w:t xml:space="preserve"> </w:t>
      </w:r>
      <w:r w:rsidR="00774624" w:rsidRPr="00876921">
        <w:rPr>
          <w:bCs/>
        </w:rPr>
        <w:t>(4)</w:t>
      </w:r>
      <w:r w:rsidR="0091649A" w:rsidRPr="00876921">
        <w:rPr>
          <w:bCs/>
        </w:rPr>
        <w:t>—</w:t>
      </w:r>
      <w:r w:rsidR="00B64E91" w:rsidRPr="00876921">
        <w:rPr>
          <w:bCs/>
        </w:rPr>
        <w:t>which state</w:t>
      </w:r>
      <w:r w:rsidR="00C80293" w:rsidRPr="00876921">
        <w:rPr>
          <w:bCs/>
        </w:rPr>
        <w:t>s</w:t>
      </w:r>
      <w:r w:rsidR="00B64E91" w:rsidRPr="00876921">
        <w:rPr>
          <w:bCs/>
        </w:rPr>
        <w:t xml:space="preserve"> that a person </w:t>
      </w:r>
      <w:r w:rsidR="00C80293" w:rsidRPr="00876921">
        <w:rPr>
          <w:bCs/>
        </w:rPr>
        <w:t>is</w:t>
      </w:r>
      <w:r w:rsidR="00B64E91" w:rsidRPr="00876921">
        <w:rPr>
          <w:bCs/>
        </w:rPr>
        <w:t xml:space="preserve"> guilty of the crime when that person</w:t>
      </w:r>
      <w:r w:rsidR="005B64E1" w:rsidRPr="00876921">
        <w:rPr>
          <w:bCs/>
        </w:rPr>
        <w:t xml:space="preserve"> </w:t>
      </w:r>
      <w:r w:rsidR="00AC6A89" w:rsidRPr="00876921">
        <w:rPr>
          <w:bCs/>
        </w:rPr>
        <w:t>“possesses any loaded firearm.</w:t>
      </w:r>
      <w:r w:rsidR="002705D2" w:rsidRPr="00876921">
        <w:rPr>
          <w:bCs/>
        </w:rPr>
        <w:t xml:space="preserve"> </w:t>
      </w:r>
      <w:r w:rsidR="00AC6A89" w:rsidRPr="00876921">
        <w:rPr>
          <w:bCs/>
        </w:rPr>
        <w:t>Such possession shall not</w:t>
      </w:r>
      <w:r w:rsidR="002B3F9A" w:rsidRPr="00876921">
        <w:rPr>
          <w:bCs/>
        </w:rPr>
        <w:t xml:space="preserve"> . . .</w:t>
      </w:r>
      <w:r w:rsidR="00AC6A89" w:rsidRPr="00876921">
        <w:rPr>
          <w:bCs/>
        </w:rPr>
        <w:t xml:space="preserve"> constitute a violation of this s</w:t>
      </w:r>
      <w:r w:rsidR="008605BC" w:rsidRPr="00876921">
        <w:rPr>
          <w:bCs/>
        </w:rPr>
        <w:t>ubdivision</w:t>
      </w:r>
      <w:r w:rsidR="00AC6A89" w:rsidRPr="00876921">
        <w:rPr>
          <w:bCs/>
        </w:rPr>
        <w:t xml:space="preserve"> if such possession takes place in such person</w:t>
      </w:r>
      <w:r w:rsidR="000751E9">
        <w:rPr>
          <w:bCs/>
        </w:rPr>
        <w:t>’</w:t>
      </w:r>
      <w:r w:rsidR="00AC6A89" w:rsidRPr="00876921">
        <w:rPr>
          <w:bCs/>
        </w:rPr>
        <w:t>s home or place of business</w:t>
      </w:r>
      <w:r w:rsidR="006D1DC2" w:rsidRPr="00876921">
        <w:rPr>
          <w:bCs/>
        </w:rPr>
        <w:t>.”</w:t>
      </w:r>
      <w:r w:rsidR="002705D2" w:rsidRPr="00876921">
        <w:rPr>
          <w:bCs/>
        </w:rPr>
        <w:t xml:space="preserve"> (</w:t>
      </w:r>
      <w:r w:rsidR="00EF611E" w:rsidRPr="00876921">
        <w:rPr>
          <w:i/>
          <w:iCs/>
          <w:spacing w:val="-2"/>
        </w:rPr>
        <w:t>People v Rodriguez</w:t>
      </w:r>
      <w:r w:rsidR="00EF611E" w:rsidRPr="00876921">
        <w:rPr>
          <w:spacing w:val="-2"/>
        </w:rPr>
        <w:t>, 68 NY2d 674</w:t>
      </w:r>
      <w:r w:rsidR="006C4C2D" w:rsidRPr="00876921">
        <w:rPr>
          <w:spacing w:val="-2"/>
        </w:rPr>
        <w:t xml:space="preserve"> </w:t>
      </w:r>
      <w:r w:rsidR="002705D2" w:rsidRPr="00876921">
        <w:rPr>
          <w:spacing w:val="-2"/>
        </w:rPr>
        <w:t>[</w:t>
      </w:r>
      <w:r w:rsidR="00EF611E" w:rsidRPr="00876921">
        <w:rPr>
          <w:spacing w:val="-2"/>
        </w:rPr>
        <w:t>1986</w:t>
      </w:r>
      <w:r w:rsidR="002705D2" w:rsidRPr="00876921">
        <w:rPr>
          <w:spacing w:val="-2"/>
        </w:rPr>
        <w:t>]</w:t>
      </w:r>
      <w:r w:rsidR="00EF611E" w:rsidRPr="00876921">
        <w:rPr>
          <w:spacing w:val="-2"/>
        </w:rPr>
        <w:t xml:space="preserve">, </w:t>
      </w:r>
      <w:r w:rsidR="00EF611E" w:rsidRPr="00876921">
        <w:rPr>
          <w:i/>
          <w:iCs/>
          <w:spacing w:val="-2"/>
        </w:rPr>
        <w:t>revg</w:t>
      </w:r>
      <w:r w:rsidR="00EF611E" w:rsidRPr="00876921">
        <w:rPr>
          <w:spacing w:val="-2"/>
        </w:rPr>
        <w:t xml:space="preserve"> </w:t>
      </w:r>
      <w:r w:rsidR="00EF611E" w:rsidRPr="00876921">
        <w:rPr>
          <w:i/>
          <w:iCs/>
          <w:spacing w:val="-2"/>
        </w:rPr>
        <w:t xml:space="preserve">for reasons stated in dissenting </w:t>
      </w:r>
      <w:r w:rsidR="00867471" w:rsidRPr="00876921">
        <w:rPr>
          <w:i/>
          <w:iCs/>
          <w:spacing w:val="-2"/>
        </w:rPr>
        <w:t>o</w:t>
      </w:r>
      <w:r w:rsidR="007A1392" w:rsidRPr="00876921">
        <w:rPr>
          <w:i/>
          <w:iCs/>
          <w:spacing w:val="-2"/>
        </w:rPr>
        <w:t>p</w:t>
      </w:r>
      <w:r w:rsidR="00EF611E" w:rsidRPr="00876921">
        <w:rPr>
          <w:i/>
          <w:iCs/>
          <w:spacing w:val="-2"/>
        </w:rPr>
        <w:t xml:space="preserve"> at </w:t>
      </w:r>
      <w:r w:rsidR="00EF611E" w:rsidRPr="00876921">
        <w:rPr>
          <w:spacing w:val="-2"/>
        </w:rPr>
        <w:t>113 AD2d 337, 343</w:t>
      </w:r>
      <w:r w:rsidR="002705D2" w:rsidRPr="00876921">
        <w:rPr>
          <w:spacing w:val="-2"/>
        </w:rPr>
        <w:t>-3</w:t>
      </w:r>
      <w:r w:rsidR="00EF611E" w:rsidRPr="00876921">
        <w:rPr>
          <w:spacing w:val="-2"/>
        </w:rPr>
        <w:t>48</w:t>
      </w:r>
      <w:r w:rsidR="00281B9E" w:rsidRPr="00876921">
        <w:rPr>
          <w:spacing w:val="-2"/>
        </w:rPr>
        <w:t>.</w:t>
      </w:r>
      <w:r w:rsidR="002705D2" w:rsidRPr="00876921">
        <w:rPr>
          <w:spacing w:val="-2"/>
        </w:rPr>
        <w:t xml:space="preserve">) </w:t>
      </w:r>
      <w:r w:rsidR="00281B9E" w:rsidRPr="00876921">
        <w:rPr>
          <w:i/>
          <w:iCs/>
          <w:spacing w:val="-2"/>
        </w:rPr>
        <w:t>Rodriguez</w:t>
      </w:r>
      <w:r w:rsidR="004836AC" w:rsidRPr="00876921">
        <w:rPr>
          <w:spacing w:val="-2"/>
        </w:rPr>
        <w:t xml:space="preserve"> </w:t>
      </w:r>
      <w:r w:rsidR="003146E2" w:rsidRPr="00876921">
        <w:rPr>
          <w:spacing w:val="-2"/>
        </w:rPr>
        <w:t>held that the People were required to plead and prove at trial that the possession</w:t>
      </w:r>
      <w:r w:rsidR="002E7F24" w:rsidRPr="00876921">
        <w:rPr>
          <w:spacing w:val="-2"/>
        </w:rPr>
        <w:t xml:space="preserve"> of the loaded firearm was not in the defendant’s home or place of business.</w:t>
      </w:r>
      <w:r w:rsidR="002705D2" w:rsidRPr="00876921">
        <w:rPr>
          <w:spacing w:val="-2"/>
        </w:rPr>
        <w:t xml:space="preserve"> </w:t>
      </w:r>
      <w:r w:rsidR="000510C1" w:rsidRPr="00876921">
        <w:rPr>
          <w:spacing w:val="-2"/>
        </w:rPr>
        <w:t>(</w:t>
      </w:r>
      <w:r w:rsidR="00C54B1D" w:rsidRPr="00876921">
        <w:rPr>
          <w:i/>
          <w:iCs/>
          <w:spacing w:val="-2"/>
        </w:rPr>
        <w:t xml:space="preserve">See </w:t>
      </w:r>
      <w:r w:rsidR="00435AC7" w:rsidRPr="00876921">
        <w:rPr>
          <w:rFonts w:eastAsia="Times New Roman"/>
          <w:i/>
          <w:iCs/>
        </w:rPr>
        <w:t>Santana</w:t>
      </w:r>
      <w:r w:rsidR="00435AC7" w:rsidRPr="00876921">
        <w:rPr>
          <w:rFonts w:eastAsia="Times New Roman"/>
        </w:rPr>
        <w:t xml:space="preserve">, 7 NY3d </w:t>
      </w:r>
      <w:r w:rsidR="00EC6337" w:rsidRPr="00876921">
        <w:rPr>
          <w:rFonts w:eastAsia="Times New Roman"/>
        </w:rPr>
        <w:t>at</w:t>
      </w:r>
      <w:r w:rsidR="00435AC7" w:rsidRPr="00876921">
        <w:rPr>
          <w:rFonts w:eastAsia="Times New Roman"/>
        </w:rPr>
        <w:t xml:space="preserve"> 237 </w:t>
      </w:r>
      <w:r w:rsidR="00671FA8" w:rsidRPr="00876921">
        <w:rPr>
          <w:rFonts w:eastAsia="Times New Roman"/>
        </w:rPr>
        <w:lastRenderedPageBreak/>
        <w:t>[</w:t>
      </w:r>
      <w:r w:rsidR="00C54B1D" w:rsidRPr="00876921">
        <w:rPr>
          <w:rFonts w:eastAsia="Times New Roman"/>
        </w:rPr>
        <w:t>“</w:t>
      </w:r>
      <w:r w:rsidR="00435AC7" w:rsidRPr="00876921">
        <w:rPr>
          <w:rFonts w:eastAsia="Times New Roman"/>
        </w:rPr>
        <w:t>Legislative intent to create an exception has generally been found when the language of exclusion is contained entirely within a Penal Law provision.</w:t>
      </w:r>
      <w:r w:rsidR="002705D2" w:rsidRPr="00876921">
        <w:rPr>
          <w:rFonts w:eastAsia="Times New Roman"/>
        </w:rPr>
        <w:t xml:space="preserve"> </w:t>
      </w:r>
      <w:r w:rsidR="00435AC7" w:rsidRPr="00876921">
        <w:rPr>
          <w:rFonts w:eastAsia="Times New Roman"/>
        </w:rPr>
        <w:t xml:space="preserve">For example, the </w:t>
      </w:r>
      <w:r w:rsidR="00D64FF7" w:rsidRPr="00876921">
        <w:rPr>
          <w:rFonts w:eastAsia="Times New Roman"/>
        </w:rPr>
        <w:t>‘</w:t>
      </w:r>
      <w:r w:rsidR="00435AC7" w:rsidRPr="00876921">
        <w:rPr>
          <w:rFonts w:eastAsia="Times New Roman"/>
        </w:rPr>
        <w:t>home or place of business</w:t>
      </w:r>
      <w:r w:rsidR="00D64FF7" w:rsidRPr="00876921">
        <w:rPr>
          <w:rFonts w:eastAsia="Times New Roman"/>
        </w:rPr>
        <w:t>’</w:t>
      </w:r>
      <w:r w:rsidR="00435AC7" w:rsidRPr="00876921">
        <w:rPr>
          <w:rFonts w:eastAsia="Times New Roman"/>
        </w:rPr>
        <w:t xml:space="preserve"> exception found in Penal Law</w:t>
      </w:r>
      <w:r w:rsidR="00671FA8" w:rsidRPr="00876921">
        <w:rPr>
          <w:rFonts w:eastAsia="Times New Roman"/>
        </w:rPr>
        <w:t xml:space="preserve"> (former)</w:t>
      </w:r>
      <w:r w:rsidR="00435AC7" w:rsidRPr="00876921">
        <w:rPr>
          <w:rFonts w:eastAsia="Times New Roman"/>
        </w:rPr>
        <w:t xml:space="preserve"> § 265.02 (4)</w:t>
      </w:r>
      <w:r w:rsidR="00D11F0A" w:rsidRPr="00876921">
        <w:rPr>
          <w:rFonts w:eastAsia="Times New Roman"/>
        </w:rPr>
        <w:t xml:space="preserve"> . . . </w:t>
      </w:r>
      <w:r w:rsidR="00435AC7" w:rsidRPr="00876921">
        <w:rPr>
          <w:rFonts w:eastAsia="Times New Roman"/>
        </w:rPr>
        <w:t>does not require reference to another statute to determine its applicabilit</w:t>
      </w:r>
      <w:r w:rsidR="00B90928" w:rsidRPr="00876921">
        <w:rPr>
          <w:rFonts w:eastAsia="Times New Roman"/>
        </w:rPr>
        <w:t>y</w:t>
      </w:r>
      <w:r w:rsidR="00D64FF7" w:rsidRPr="00876921">
        <w:rPr>
          <w:rFonts w:eastAsia="Times New Roman"/>
        </w:rPr>
        <w:t>”</w:t>
      </w:r>
      <w:r w:rsidR="00B90928" w:rsidRPr="00876921">
        <w:rPr>
          <w:rFonts w:eastAsia="Times New Roman"/>
        </w:rPr>
        <w:t>]</w:t>
      </w:r>
      <w:r w:rsidR="00B25BF0" w:rsidRPr="00876921">
        <w:rPr>
          <w:rFonts w:eastAsia="Times New Roman"/>
        </w:rPr>
        <w:t>.</w:t>
      </w:r>
      <w:r w:rsidR="000510C1" w:rsidRPr="00876921">
        <w:rPr>
          <w:rFonts w:eastAsia="Times New Roman"/>
        </w:rPr>
        <w:t>)</w:t>
      </w:r>
    </w:p>
    <w:p w14:paraId="1DA73153" w14:textId="77777777" w:rsidR="00A80B0D" w:rsidRPr="00876921" w:rsidRDefault="00A80B0D" w:rsidP="00342A33">
      <w:pPr>
        <w:spacing w:before="0"/>
        <w:jc w:val="both"/>
        <w:rPr>
          <w:rFonts w:eastAsia="Times New Roman"/>
        </w:rPr>
      </w:pPr>
    </w:p>
    <w:p w14:paraId="637AC036" w14:textId="569E3579" w:rsidR="005F112B" w:rsidRPr="00876921" w:rsidRDefault="00342A33" w:rsidP="00342A33">
      <w:pPr>
        <w:tabs>
          <w:tab w:val="left" w:pos="720"/>
        </w:tabs>
        <w:spacing w:before="0"/>
        <w:jc w:val="both"/>
        <w:rPr>
          <w:spacing w:val="-2"/>
        </w:rPr>
      </w:pPr>
      <w:r>
        <w:rPr>
          <w:rFonts w:eastAsia="Times New Roman"/>
          <w:b/>
          <w:bCs/>
        </w:rPr>
        <w:tab/>
      </w:r>
      <w:r w:rsidR="00BB11FB" w:rsidRPr="00876921">
        <w:rPr>
          <w:rFonts w:eastAsia="Times New Roman"/>
          <w:b/>
          <w:bCs/>
        </w:rPr>
        <w:t>Subdivision (3) (b)</w:t>
      </w:r>
      <w:r w:rsidR="00BB11FB" w:rsidRPr="00876921">
        <w:rPr>
          <w:rFonts w:eastAsia="Times New Roman"/>
        </w:rPr>
        <w:t xml:space="preserve"> </w:t>
      </w:r>
      <w:r w:rsidR="00DE16F8" w:rsidRPr="00876921">
        <w:rPr>
          <w:rFonts w:eastAsia="Times New Roman"/>
        </w:rPr>
        <w:t>sets forth what may be viewed as an exception to the general rule</w:t>
      </w:r>
      <w:r w:rsidR="00BE030E" w:rsidRPr="00876921">
        <w:rPr>
          <w:rFonts w:eastAsia="Times New Roman"/>
        </w:rPr>
        <w:t xml:space="preserve"> stated</w:t>
      </w:r>
      <w:r w:rsidR="00DE16F8" w:rsidRPr="00876921">
        <w:rPr>
          <w:rFonts w:eastAsia="Times New Roman"/>
        </w:rPr>
        <w:t xml:space="preserve"> in sub</w:t>
      </w:r>
      <w:r w:rsidR="001745E3" w:rsidRPr="00876921">
        <w:rPr>
          <w:rFonts w:eastAsia="Times New Roman"/>
        </w:rPr>
        <w:t xml:space="preserve">division (3) (a), that is, </w:t>
      </w:r>
      <w:r w:rsidR="001B4A4A" w:rsidRPr="00876921">
        <w:rPr>
          <w:rFonts w:eastAsia="Times New Roman"/>
        </w:rPr>
        <w:t xml:space="preserve">instances </w:t>
      </w:r>
      <w:r w:rsidR="00C803A0" w:rsidRPr="00876921">
        <w:rPr>
          <w:rFonts w:eastAsia="Times New Roman"/>
        </w:rPr>
        <w:t>when legislative intent</w:t>
      </w:r>
      <w:r w:rsidR="005C3C11" w:rsidRPr="00876921">
        <w:rPr>
          <w:rFonts w:eastAsia="Times New Roman"/>
        </w:rPr>
        <w:t xml:space="preserve">, </w:t>
      </w:r>
      <w:r w:rsidR="00C803A0" w:rsidRPr="00876921">
        <w:rPr>
          <w:rFonts w:eastAsia="Times New Roman"/>
        </w:rPr>
        <w:t>seen through the prism of “common sense and reasonable pleading</w:t>
      </w:r>
      <w:r w:rsidR="005C3C11" w:rsidRPr="00876921">
        <w:rPr>
          <w:rFonts w:eastAsia="Times New Roman"/>
        </w:rPr>
        <w:t>,</w:t>
      </w:r>
      <w:r w:rsidR="00C803A0" w:rsidRPr="00876921">
        <w:rPr>
          <w:rFonts w:eastAsia="Times New Roman"/>
        </w:rPr>
        <w:t xml:space="preserve">” </w:t>
      </w:r>
      <w:r w:rsidR="00CC26E0" w:rsidRPr="00876921">
        <w:rPr>
          <w:rFonts w:eastAsia="Times New Roman"/>
        </w:rPr>
        <w:t xml:space="preserve">does not require </w:t>
      </w:r>
      <w:r w:rsidR="005A73E2" w:rsidRPr="00876921">
        <w:rPr>
          <w:rFonts w:eastAsia="Times New Roman"/>
        </w:rPr>
        <w:t>exclusionary language</w:t>
      </w:r>
      <w:r w:rsidR="00CC26E0" w:rsidRPr="00876921">
        <w:rPr>
          <w:rFonts w:eastAsia="Times New Roman"/>
        </w:rPr>
        <w:t xml:space="preserve"> </w:t>
      </w:r>
      <w:r w:rsidR="0084247D" w:rsidRPr="00876921">
        <w:rPr>
          <w:rFonts w:eastAsia="Times New Roman"/>
        </w:rPr>
        <w:t xml:space="preserve">stated in the definition of an offense </w:t>
      </w:r>
      <w:r w:rsidR="00CC26E0" w:rsidRPr="00876921">
        <w:rPr>
          <w:rFonts w:eastAsia="Times New Roman"/>
        </w:rPr>
        <w:t>to be pled or disprove</w:t>
      </w:r>
      <w:r w:rsidR="0084247D" w:rsidRPr="00876921">
        <w:rPr>
          <w:rFonts w:eastAsia="Times New Roman"/>
        </w:rPr>
        <w:t>d</w:t>
      </w:r>
      <w:r w:rsidR="00CC26E0" w:rsidRPr="00876921">
        <w:rPr>
          <w:rFonts w:eastAsia="Times New Roman"/>
        </w:rPr>
        <w:t xml:space="preserve"> at trial absent the defendant placing the exception in issue. </w:t>
      </w:r>
      <w:r w:rsidR="003E64C1" w:rsidRPr="00876921">
        <w:rPr>
          <w:rFonts w:eastAsia="Times New Roman"/>
        </w:rPr>
        <w:t xml:space="preserve">See </w:t>
      </w:r>
      <w:r w:rsidR="00374AFF" w:rsidRPr="00876921">
        <w:rPr>
          <w:rFonts w:eastAsia="Times New Roman"/>
        </w:rPr>
        <w:t xml:space="preserve">the discussion of </w:t>
      </w:r>
      <w:r w:rsidR="00374AFF" w:rsidRPr="00876921">
        <w:rPr>
          <w:rFonts w:eastAsia="Times New Roman"/>
          <w:i/>
          <w:iCs/>
        </w:rPr>
        <w:t>Santana</w:t>
      </w:r>
      <w:r w:rsidR="00374AFF" w:rsidRPr="00876921">
        <w:rPr>
          <w:rFonts w:eastAsia="Times New Roman"/>
        </w:rPr>
        <w:t xml:space="preserve"> in subdivision (2) and in particular </w:t>
      </w:r>
      <w:r w:rsidR="0098578B" w:rsidRPr="00876921">
        <w:rPr>
          <w:rFonts w:eastAsia="Times New Roman"/>
        </w:rPr>
        <w:t xml:space="preserve">the comment in </w:t>
      </w:r>
      <w:r w:rsidR="0098578B" w:rsidRPr="00876921">
        <w:rPr>
          <w:rFonts w:eastAsia="Times New Roman"/>
          <w:i/>
          <w:iCs/>
        </w:rPr>
        <w:t>Davis</w:t>
      </w:r>
      <w:r w:rsidR="0098578B" w:rsidRPr="00876921">
        <w:rPr>
          <w:rFonts w:eastAsia="Times New Roman"/>
        </w:rPr>
        <w:t xml:space="preserve"> that</w:t>
      </w:r>
      <w:r w:rsidR="00751203" w:rsidRPr="00876921">
        <w:rPr>
          <w:rFonts w:eastAsia="Times New Roman"/>
        </w:rPr>
        <w:t>,</w:t>
      </w:r>
      <w:r w:rsidR="0098578B" w:rsidRPr="00876921">
        <w:rPr>
          <w:rFonts w:eastAsia="Times New Roman"/>
        </w:rPr>
        <w:t xml:space="preserve"> </w:t>
      </w:r>
      <w:r w:rsidR="00F1048D" w:rsidRPr="00876921">
        <w:rPr>
          <w:rFonts w:eastAsia="Times New Roman"/>
        </w:rPr>
        <w:t xml:space="preserve">in addition </w:t>
      </w:r>
      <w:r w:rsidR="00724A0E" w:rsidRPr="00876921">
        <w:rPr>
          <w:rFonts w:eastAsia="Times New Roman"/>
        </w:rPr>
        <w:t xml:space="preserve">to </w:t>
      </w:r>
      <w:r w:rsidR="00B4627D" w:rsidRPr="00876921">
        <w:rPr>
          <w:rFonts w:eastAsia="Times New Roman"/>
        </w:rPr>
        <w:t>the exception in</w:t>
      </w:r>
      <w:r w:rsidR="00F1048D" w:rsidRPr="00876921">
        <w:rPr>
          <w:rFonts w:eastAsia="Times New Roman"/>
        </w:rPr>
        <w:t xml:space="preserve"> </w:t>
      </w:r>
      <w:r w:rsidR="00F1048D" w:rsidRPr="00876921">
        <w:rPr>
          <w:rFonts w:eastAsia="Times New Roman"/>
          <w:i/>
          <w:iCs/>
        </w:rPr>
        <w:t>Santana</w:t>
      </w:r>
      <w:r w:rsidR="00F1048D" w:rsidRPr="00876921">
        <w:rPr>
          <w:rFonts w:eastAsia="Times New Roman"/>
        </w:rPr>
        <w:t xml:space="preserve"> being</w:t>
      </w:r>
      <w:r w:rsidR="00B4627D" w:rsidRPr="00876921">
        <w:rPr>
          <w:rFonts w:eastAsia="Times New Roman"/>
        </w:rPr>
        <w:t xml:space="preserve"> “found outside the text” of the </w:t>
      </w:r>
      <w:r w:rsidR="00D4006A" w:rsidRPr="00876921">
        <w:rPr>
          <w:rFonts w:eastAsia="Times New Roman"/>
        </w:rPr>
        <w:t>definition of the statute</w:t>
      </w:r>
      <w:r w:rsidR="00B4627D" w:rsidRPr="00876921">
        <w:rPr>
          <w:rFonts w:eastAsia="Times New Roman"/>
        </w:rPr>
        <w:t xml:space="preserve">, </w:t>
      </w:r>
      <w:r w:rsidR="003D1F18" w:rsidRPr="00876921">
        <w:rPr>
          <w:rFonts w:eastAsia="Times New Roman"/>
        </w:rPr>
        <w:t>the Court</w:t>
      </w:r>
      <w:r w:rsidR="00D35EED" w:rsidRPr="00876921">
        <w:rPr>
          <w:rFonts w:eastAsia="Times New Roman"/>
        </w:rPr>
        <w:t xml:space="preserve"> of Appeals</w:t>
      </w:r>
      <w:r w:rsidR="00F1048D" w:rsidRPr="00876921">
        <w:rPr>
          <w:spacing w:val="-2"/>
        </w:rPr>
        <w:t xml:space="preserve"> </w:t>
      </w:r>
      <w:r w:rsidR="003D1F18" w:rsidRPr="00876921">
        <w:rPr>
          <w:spacing w:val="-2"/>
        </w:rPr>
        <w:t>“</w:t>
      </w:r>
      <w:r w:rsidR="00F1048D" w:rsidRPr="00876921">
        <w:rPr>
          <w:spacing w:val="-2"/>
        </w:rPr>
        <w:t>conclusion was premised on the belief that the Legislature could not reasonably have intended the People to negate the existence</w:t>
      </w:r>
      <w:r w:rsidR="005F112B" w:rsidRPr="00876921">
        <w:rPr>
          <w:spacing w:val="-2"/>
        </w:rPr>
        <w:t>” of myriad items included in the exception</w:t>
      </w:r>
      <w:r w:rsidR="002705D2" w:rsidRPr="00876921">
        <w:rPr>
          <w:spacing w:val="-2"/>
        </w:rPr>
        <w:t xml:space="preserve"> </w:t>
      </w:r>
      <w:r w:rsidR="00FC794D" w:rsidRPr="00876921">
        <w:rPr>
          <w:spacing w:val="-2"/>
        </w:rPr>
        <w:t>(</w:t>
      </w:r>
      <w:r w:rsidR="00C71853" w:rsidRPr="00876921">
        <w:rPr>
          <w:i/>
          <w:iCs/>
          <w:spacing w:val="-2"/>
        </w:rPr>
        <w:t>Davis</w:t>
      </w:r>
      <w:r w:rsidR="00C71853" w:rsidRPr="00876921">
        <w:rPr>
          <w:spacing w:val="-2"/>
        </w:rPr>
        <w:t xml:space="preserve"> at </w:t>
      </w:r>
      <w:r w:rsidR="003F3F3F" w:rsidRPr="00876921">
        <w:rPr>
          <w:spacing w:val="-2"/>
        </w:rPr>
        <w:t>31</w:t>
      </w:r>
      <w:r w:rsidR="00FC794D" w:rsidRPr="00876921">
        <w:rPr>
          <w:spacing w:val="-2"/>
        </w:rPr>
        <w:t>)</w:t>
      </w:r>
      <w:r w:rsidR="002705D2" w:rsidRPr="00876921">
        <w:rPr>
          <w:spacing w:val="-2"/>
        </w:rPr>
        <w:t>.</w:t>
      </w:r>
    </w:p>
    <w:p w14:paraId="5F9B4D66" w14:textId="77777777" w:rsidR="00C71853" w:rsidRPr="00876921" w:rsidRDefault="00C71853" w:rsidP="00342A33">
      <w:pPr>
        <w:spacing w:before="0"/>
        <w:jc w:val="both"/>
        <w:rPr>
          <w:spacing w:val="-2"/>
        </w:rPr>
      </w:pPr>
    </w:p>
    <w:p w14:paraId="79C01D11" w14:textId="057E6E6C" w:rsidR="00B268C4" w:rsidRPr="00876921" w:rsidRDefault="00342A33" w:rsidP="00342A33">
      <w:pPr>
        <w:shd w:val="clear" w:color="auto" w:fill="FFFFFF"/>
        <w:tabs>
          <w:tab w:val="left" w:pos="720"/>
        </w:tabs>
        <w:spacing w:before="0"/>
        <w:jc w:val="both"/>
        <w:rPr>
          <w:rFonts w:eastAsia="Times New Roman"/>
        </w:rPr>
      </w:pPr>
      <w:r>
        <w:rPr>
          <w:rFonts w:eastAsia="Times New Roman"/>
        </w:rPr>
        <w:tab/>
      </w:r>
      <w:r w:rsidR="00B268C4" w:rsidRPr="00876921">
        <w:rPr>
          <w:rFonts w:eastAsia="Times New Roman"/>
        </w:rPr>
        <w:t xml:space="preserve">In </w:t>
      </w:r>
      <w:r w:rsidR="00B268C4" w:rsidRPr="00876921">
        <w:rPr>
          <w:rFonts w:eastAsia="Times New Roman"/>
          <w:i/>
          <w:iCs/>
        </w:rPr>
        <w:t>Davis</w:t>
      </w:r>
      <w:r w:rsidR="00B268C4" w:rsidRPr="00876921">
        <w:rPr>
          <w:rFonts w:eastAsia="Times New Roman"/>
        </w:rPr>
        <w:t>,</w:t>
      </w:r>
      <w:r w:rsidR="00B268C4" w:rsidRPr="00876921">
        <w:rPr>
          <w:rFonts w:eastAsia="Times New Roman"/>
          <w:i/>
          <w:iCs/>
        </w:rPr>
        <w:t xml:space="preserve"> </w:t>
      </w:r>
      <w:r w:rsidR="00B268C4" w:rsidRPr="00876921">
        <w:rPr>
          <w:rFonts w:eastAsia="Times New Roman"/>
        </w:rPr>
        <w:t xml:space="preserve">the defendant was convicted of a misdemeanor based upon his violation of a New York City </w:t>
      </w:r>
      <w:r w:rsidR="00475D79" w:rsidRPr="00876921">
        <w:rPr>
          <w:rFonts w:eastAsia="Times New Roman"/>
        </w:rPr>
        <w:t xml:space="preserve">Department of </w:t>
      </w:r>
      <w:r w:rsidR="00B268C4" w:rsidRPr="00876921">
        <w:rPr>
          <w:rFonts w:eastAsia="Times New Roman"/>
        </w:rPr>
        <w:t xml:space="preserve">Parks and Recreation </w:t>
      </w:r>
      <w:r w:rsidR="00475D79" w:rsidRPr="00876921">
        <w:rPr>
          <w:rFonts w:eastAsia="Times New Roman"/>
        </w:rPr>
        <w:t>r</w:t>
      </w:r>
      <w:r w:rsidR="00B268C4" w:rsidRPr="00876921">
        <w:rPr>
          <w:rFonts w:eastAsia="Times New Roman"/>
        </w:rPr>
        <w:t xml:space="preserve">ule which prohibited </w:t>
      </w:r>
      <w:r w:rsidR="00395BC1" w:rsidRPr="00876921">
        <w:rPr>
          <w:rFonts w:eastAsia="Times New Roman"/>
        </w:rPr>
        <w:t xml:space="preserve">individuals </w:t>
      </w:r>
      <w:r w:rsidR="00B268C4" w:rsidRPr="00876921">
        <w:rPr>
          <w:rFonts w:eastAsia="Times New Roman"/>
        </w:rPr>
        <w:t>in city park</w:t>
      </w:r>
      <w:r w:rsidR="003D2100" w:rsidRPr="00876921">
        <w:rPr>
          <w:rFonts w:eastAsia="Times New Roman"/>
        </w:rPr>
        <w:t>s</w:t>
      </w:r>
      <w:r w:rsidR="00B268C4" w:rsidRPr="00876921">
        <w:rPr>
          <w:rFonts w:eastAsia="Times New Roman"/>
        </w:rPr>
        <w:t xml:space="preserve"> after their “posted closing times” </w:t>
      </w:r>
      <w:r w:rsidR="00FC794D" w:rsidRPr="00876921">
        <w:rPr>
          <w:rFonts w:eastAsia="Times New Roman"/>
        </w:rPr>
        <w:t>(</w:t>
      </w:r>
      <w:r w:rsidR="00B268C4" w:rsidRPr="00876921">
        <w:rPr>
          <w:rFonts w:eastAsia="Times New Roman"/>
          <w:i/>
          <w:iCs/>
        </w:rPr>
        <w:t>Davis</w:t>
      </w:r>
      <w:r w:rsidR="00B268C4" w:rsidRPr="00876921">
        <w:rPr>
          <w:rFonts w:eastAsia="Times New Roman"/>
        </w:rPr>
        <w:t xml:space="preserve"> at 20-21</w:t>
      </w:r>
      <w:r w:rsidR="00FC794D" w:rsidRPr="00876921">
        <w:rPr>
          <w:rFonts w:eastAsia="Times New Roman"/>
        </w:rPr>
        <w:t>)</w:t>
      </w:r>
      <w:r w:rsidR="002705D2" w:rsidRPr="00876921">
        <w:rPr>
          <w:rFonts w:eastAsia="Times New Roman"/>
        </w:rPr>
        <w:t xml:space="preserve">. </w:t>
      </w:r>
      <w:r w:rsidR="00B268C4" w:rsidRPr="00876921">
        <w:rPr>
          <w:rFonts w:eastAsia="Times New Roman"/>
        </w:rPr>
        <w:t>The rule contained “qualifying language stating that a person may disregard a park sign ‘upon order by a Police Officer or designated Department employee’</w:t>
      </w:r>
      <w:r w:rsidR="002705D2" w:rsidRPr="00876921">
        <w:rPr>
          <w:rFonts w:eastAsia="Times New Roman"/>
        </w:rPr>
        <w:t xml:space="preserve"> </w:t>
      </w:r>
      <w:r w:rsidR="00B268C4" w:rsidRPr="00876921">
        <w:rPr>
          <w:rFonts w:eastAsia="Times New Roman"/>
        </w:rPr>
        <w:t xml:space="preserve">” </w:t>
      </w:r>
      <w:r w:rsidR="00FC794D" w:rsidRPr="00876921">
        <w:rPr>
          <w:rFonts w:eastAsia="Times New Roman"/>
        </w:rPr>
        <w:t>(</w:t>
      </w:r>
      <w:r w:rsidR="002705D2" w:rsidRPr="00876921">
        <w:rPr>
          <w:rFonts w:eastAsia="Times New Roman"/>
          <w:i/>
          <w:iCs/>
        </w:rPr>
        <w:t>i</w:t>
      </w:r>
      <w:r w:rsidR="00B268C4" w:rsidRPr="00876921">
        <w:rPr>
          <w:rFonts w:eastAsia="Times New Roman"/>
          <w:i/>
          <w:iCs/>
        </w:rPr>
        <w:t>d.</w:t>
      </w:r>
      <w:r w:rsidR="00FC794D" w:rsidRPr="00876921">
        <w:rPr>
          <w:rFonts w:eastAsia="Times New Roman"/>
        </w:rPr>
        <w:t>)</w:t>
      </w:r>
      <w:r w:rsidR="002705D2" w:rsidRPr="00876921">
        <w:rPr>
          <w:rFonts w:eastAsia="Times New Roman"/>
        </w:rPr>
        <w:t>.</w:t>
      </w:r>
      <w:r w:rsidR="00B268C4" w:rsidRPr="00876921">
        <w:rPr>
          <w:rFonts w:eastAsia="Times New Roman"/>
        </w:rPr>
        <w:t xml:space="preserve"> In response to the defendant’s argument that the People were required to plead </w:t>
      </w:r>
      <w:r w:rsidR="000B50D6" w:rsidRPr="00876921">
        <w:rPr>
          <w:rFonts w:eastAsia="Times New Roman"/>
        </w:rPr>
        <w:t xml:space="preserve">that </w:t>
      </w:r>
      <w:r w:rsidR="00B268C4" w:rsidRPr="00876921">
        <w:rPr>
          <w:rFonts w:eastAsia="Times New Roman"/>
        </w:rPr>
        <w:t xml:space="preserve">the exception </w:t>
      </w:r>
      <w:r w:rsidR="000B50D6" w:rsidRPr="00876921">
        <w:rPr>
          <w:rFonts w:eastAsia="Times New Roman"/>
        </w:rPr>
        <w:t xml:space="preserve">did not apply </w:t>
      </w:r>
      <w:r w:rsidR="00B268C4" w:rsidRPr="00876921">
        <w:rPr>
          <w:rFonts w:eastAsia="Times New Roman"/>
        </w:rPr>
        <w:t xml:space="preserve">(and </w:t>
      </w:r>
      <w:r w:rsidR="00766797" w:rsidRPr="00876921">
        <w:rPr>
          <w:rFonts w:eastAsia="Times New Roman"/>
        </w:rPr>
        <w:t xml:space="preserve">therefore </w:t>
      </w:r>
      <w:r w:rsidR="00B268C4" w:rsidRPr="00876921">
        <w:rPr>
          <w:rFonts w:eastAsia="Times New Roman"/>
        </w:rPr>
        <w:t xml:space="preserve">ultimately to disprove </w:t>
      </w:r>
      <w:r w:rsidR="003464D2" w:rsidRPr="00876921">
        <w:rPr>
          <w:rFonts w:eastAsia="Times New Roman"/>
        </w:rPr>
        <w:t>its application</w:t>
      </w:r>
      <w:r w:rsidR="00B268C4" w:rsidRPr="00876921">
        <w:rPr>
          <w:rFonts w:eastAsia="Times New Roman"/>
        </w:rPr>
        <w:t xml:space="preserve"> at trial), the Court said:</w:t>
      </w:r>
    </w:p>
    <w:p w14:paraId="3FEAE3EE" w14:textId="77777777" w:rsidR="001C3752" w:rsidRPr="00876921" w:rsidRDefault="001C3752" w:rsidP="00876921">
      <w:pPr>
        <w:shd w:val="clear" w:color="auto" w:fill="FFFFFF"/>
        <w:spacing w:before="0"/>
        <w:jc w:val="both"/>
        <w:rPr>
          <w:rFonts w:eastAsia="Times New Roman"/>
        </w:rPr>
      </w:pPr>
    </w:p>
    <w:p w14:paraId="2570495A" w14:textId="1B9079C9" w:rsidR="001C3752" w:rsidRPr="00876921" w:rsidRDefault="002705D2" w:rsidP="00342A33">
      <w:pPr>
        <w:shd w:val="clear" w:color="auto" w:fill="FFFFFF"/>
        <w:spacing w:before="0"/>
        <w:ind w:left="720" w:right="720"/>
        <w:jc w:val="both"/>
        <w:rPr>
          <w:rFonts w:eastAsia="Times New Roman"/>
        </w:rPr>
      </w:pPr>
      <w:r w:rsidRPr="00876921">
        <w:rPr>
          <w:rFonts w:eastAsia="Times New Roman"/>
        </w:rPr>
        <w:t>“</w:t>
      </w:r>
      <w:r w:rsidR="001C3752" w:rsidRPr="00876921">
        <w:rPr>
          <w:rFonts w:eastAsia="Times New Roman"/>
        </w:rPr>
        <w:t>The main goal of the interpretative rules governing exceptions and provisos is to discover the intention of the enacting body</w:t>
      </w:r>
      <w:r w:rsidRPr="00876921">
        <w:rPr>
          <w:rFonts w:eastAsia="Times New Roman"/>
        </w:rPr>
        <w:t xml:space="preserve">. . . . </w:t>
      </w:r>
    </w:p>
    <w:p w14:paraId="62B12967" w14:textId="77777777" w:rsidR="002705D2" w:rsidRPr="00876921" w:rsidRDefault="002705D2" w:rsidP="00342A33">
      <w:pPr>
        <w:shd w:val="clear" w:color="auto" w:fill="FFFFFF"/>
        <w:spacing w:before="0"/>
        <w:jc w:val="both"/>
        <w:rPr>
          <w:rFonts w:eastAsia="Times New Roman"/>
        </w:rPr>
      </w:pPr>
    </w:p>
    <w:p w14:paraId="1E733653" w14:textId="4B4AB4CA" w:rsidR="00501E34" w:rsidRPr="00876921" w:rsidRDefault="002705D2" w:rsidP="00342A33">
      <w:pPr>
        <w:shd w:val="clear" w:color="auto" w:fill="FFFFFF"/>
        <w:spacing w:before="0"/>
        <w:ind w:left="720" w:right="720"/>
        <w:jc w:val="both"/>
        <w:rPr>
          <w:bCs/>
        </w:rPr>
      </w:pPr>
      <w:r w:rsidRPr="00876921">
        <w:rPr>
          <w:rFonts w:eastAsia="Times New Roman"/>
        </w:rPr>
        <w:t>“</w:t>
      </w:r>
      <w:r w:rsidR="00185790" w:rsidRPr="00876921">
        <w:rPr>
          <w:rFonts w:eastAsia="Times New Roman"/>
        </w:rPr>
        <w:t xml:space="preserve">Here, </w:t>
      </w:r>
      <w:r w:rsidR="00B268C4" w:rsidRPr="00876921">
        <w:rPr>
          <w:rFonts w:eastAsia="Times New Roman"/>
        </w:rPr>
        <w:t>we conclude that, as a matter of common sense and reasonable pleading (</w:t>
      </w:r>
      <w:r w:rsidR="00B268C4" w:rsidRPr="00876921">
        <w:rPr>
          <w:rFonts w:eastAsia="Times New Roman"/>
          <w:i/>
          <w:iCs/>
        </w:rPr>
        <w:t>see Devinny</w:t>
      </w:r>
      <w:r w:rsidR="00B268C4" w:rsidRPr="00876921">
        <w:rPr>
          <w:rFonts w:eastAsia="Times New Roman"/>
        </w:rPr>
        <w:t xml:space="preserve">, 227 NY at 401; </w:t>
      </w:r>
      <w:r w:rsidR="00B268C4" w:rsidRPr="00876921">
        <w:rPr>
          <w:rFonts w:eastAsia="Times New Roman"/>
          <w:i/>
          <w:iCs/>
        </w:rPr>
        <w:t>accord Santana</w:t>
      </w:r>
      <w:r w:rsidR="00B268C4" w:rsidRPr="00876921">
        <w:rPr>
          <w:rFonts w:eastAsia="Times New Roman"/>
        </w:rPr>
        <w:t>, 7 NY3d at 237), the City</w:t>
      </w:r>
      <w:r w:rsidR="000751E9">
        <w:rPr>
          <w:rFonts w:eastAsia="Times New Roman"/>
        </w:rPr>
        <w:t>’</w:t>
      </w:r>
      <w:r w:rsidR="00B268C4" w:rsidRPr="00876921">
        <w:rPr>
          <w:rFonts w:eastAsia="Times New Roman"/>
        </w:rPr>
        <w:t>s Parks Department did not intend that the People plead and prove that no police officer or Parks Department employee had authorized defendant to ignore a posted closing time.</w:t>
      </w:r>
      <w:r w:rsidR="003F76AE" w:rsidRPr="00876921">
        <w:rPr>
          <w:rFonts w:eastAsia="Times New Roman"/>
        </w:rPr>
        <w:t xml:space="preserve"> </w:t>
      </w:r>
      <w:r w:rsidR="00B268C4" w:rsidRPr="00876921">
        <w:rPr>
          <w:rFonts w:eastAsia="Times New Roman"/>
          <w:i/>
          <w:iCs/>
        </w:rPr>
        <w:t>Such information is uniquely within a defendan</w:t>
      </w:r>
      <w:r w:rsidR="000751E9">
        <w:rPr>
          <w:rFonts w:eastAsia="Times New Roman"/>
          <w:i/>
          <w:iCs/>
        </w:rPr>
        <w:t>t’</w:t>
      </w:r>
      <w:r w:rsidR="00B268C4" w:rsidRPr="00876921">
        <w:rPr>
          <w:rFonts w:eastAsia="Times New Roman"/>
          <w:i/>
          <w:iCs/>
        </w:rPr>
        <w:t>s knowledge</w:t>
      </w:r>
      <w:r w:rsidR="00B268C4" w:rsidRPr="00876921">
        <w:rPr>
          <w:rFonts w:eastAsia="Times New Roman"/>
        </w:rPr>
        <w:t xml:space="preserve">, and </w:t>
      </w:r>
      <w:r w:rsidR="00B268C4" w:rsidRPr="00876921">
        <w:rPr>
          <w:rFonts w:eastAsia="Times New Roman"/>
          <w:i/>
          <w:iCs/>
        </w:rPr>
        <w:t xml:space="preserve">to require the People to plead and negate the existence of the relevant permission would require them to go to </w:t>
      </w:r>
      <w:r w:rsidR="00FD68E1" w:rsidRPr="00876921">
        <w:rPr>
          <w:rFonts w:eastAsia="Times New Roman"/>
          <w:i/>
          <w:iCs/>
        </w:rPr>
        <w:t>‘</w:t>
      </w:r>
      <w:r w:rsidR="00B268C4" w:rsidRPr="00876921">
        <w:rPr>
          <w:rFonts w:eastAsia="Times New Roman"/>
          <w:i/>
          <w:iCs/>
        </w:rPr>
        <w:t>intolerable lengths</w:t>
      </w:r>
      <w:r w:rsidR="00FD68E1" w:rsidRPr="00876921">
        <w:rPr>
          <w:rFonts w:eastAsia="Times New Roman"/>
          <w:i/>
          <w:iCs/>
        </w:rPr>
        <w:t>’</w:t>
      </w:r>
      <w:r w:rsidR="00B268C4" w:rsidRPr="00876921">
        <w:rPr>
          <w:rFonts w:eastAsia="Times New Roman"/>
        </w:rPr>
        <w:t xml:space="preserve"> </w:t>
      </w:r>
      <w:r w:rsidR="0072731F" w:rsidRPr="00876921">
        <w:rPr>
          <w:rFonts w:eastAsia="Times New Roman"/>
        </w:rPr>
        <w:t xml:space="preserve">. . . </w:t>
      </w:r>
      <w:r w:rsidR="008C3D1E" w:rsidRPr="00876921">
        <w:rPr>
          <w:rFonts w:eastAsia="Times New Roman"/>
        </w:rPr>
        <w:t>.</w:t>
      </w:r>
      <w:r w:rsidR="003F76AE" w:rsidRPr="00876921">
        <w:rPr>
          <w:rFonts w:eastAsia="Times New Roman"/>
        </w:rPr>
        <w:t xml:space="preserve"> </w:t>
      </w:r>
      <w:r w:rsidR="00B268C4" w:rsidRPr="00876921">
        <w:rPr>
          <w:rFonts w:eastAsia="Times New Roman"/>
        </w:rPr>
        <w:t xml:space="preserve">These efforts would serve </w:t>
      </w:r>
      <w:r w:rsidR="00976349" w:rsidRPr="00876921">
        <w:rPr>
          <w:rFonts w:eastAsia="Times New Roman"/>
        </w:rPr>
        <w:t>‘</w:t>
      </w:r>
      <w:r w:rsidR="00B268C4" w:rsidRPr="00876921">
        <w:rPr>
          <w:rFonts w:eastAsia="Times New Roman"/>
        </w:rPr>
        <w:t>[n]o useful purpose of narrowing issues or giving notice,</w:t>
      </w:r>
      <w:r w:rsidR="00976349" w:rsidRPr="00876921">
        <w:rPr>
          <w:rFonts w:eastAsia="Times New Roman"/>
        </w:rPr>
        <w:t>’</w:t>
      </w:r>
      <w:r w:rsidR="003F76AE" w:rsidRPr="00876921">
        <w:rPr>
          <w:rFonts w:eastAsia="Times New Roman"/>
        </w:rPr>
        <w:t xml:space="preserve"> </w:t>
      </w:r>
      <w:r w:rsidR="00B268C4" w:rsidRPr="00876921">
        <w:rPr>
          <w:rFonts w:eastAsia="Times New Roman"/>
        </w:rPr>
        <w:t xml:space="preserve">but would merely give rise to </w:t>
      </w:r>
      <w:r w:rsidR="00976349" w:rsidRPr="00876921">
        <w:rPr>
          <w:rFonts w:eastAsia="Times New Roman"/>
        </w:rPr>
        <w:t>‘</w:t>
      </w:r>
      <w:r w:rsidR="00B268C4" w:rsidRPr="00876921">
        <w:rPr>
          <w:rFonts w:eastAsia="Times New Roman"/>
        </w:rPr>
        <w:t>technicalitie[s that] could be used belatedly to stifle an otherwise viable prosecution</w:t>
      </w:r>
      <w:r w:rsidR="00976349" w:rsidRPr="00876921">
        <w:rPr>
          <w:rFonts w:eastAsia="Times New Roman"/>
        </w:rPr>
        <w:t>’</w:t>
      </w:r>
      <w:r w:rsidR="00B268C4" w:rsidRPr="00876921">
        <w:rPr>
          <w:rFonts w:eastAsia="Times New Roman"/>
        </w:rPr>
        <w:t xml:space="preserve"> (</w:t>
      </w:r>
      <w:r w:rsidR="00B268C4" w:rsidRPr="00876921">
        <w:rPr>
          <w:rFonts w:eastAsia="Times New Roman"/>
          <w:i/>
          <w:iCs/>
        </w:rPr>
        <w:t>cf. People v Kohut</w:t>
      </w:r>
      <w:r w:rsidR="00B268C4" w:rsidRPr="00876921">
        <w:rPr>
          <w:rFonts w:eastAsia="Times New Roman"/>
        </w:rPr>
        <w:t xml:space="preserve">, 30 NY2d 183, 191 [1972]). As such, we hold that the Parks Department intended the police officer/department employee qualifying language to operate as a </w:t>
      </w:r>
      <w:r w:rsidR="00976349" w:rsidRPr="00876921">
        <w:rPr>
          <w:rFonts w:eastAsia="Times New Roman"/>
        </w:rPr>
        <w:t>‘</w:t>
      </w:r>
      <w:r w:rsidR="00B268C4" w:rsidRPr="00876921">
        <w:rPr>
          <w:rFonts w:eastAsia="Times New Roman"/>
        </w:rPr>
        <w:t>proviso</w:t>
      </w:r>
      <w:r w:rsidR="00976349" w:rsidRPr="00876921">
        <w:rPr>
          <w:rFonts w:eastAsia="Times New Roman"/>
        </w:rPr>
        <w:t>’</w:t>
      </w:r>
      <w:r w:rsidR="00B268C4" w:rsidRPr="00876921">
        <w:rPr>
          <w:rFonts w:eastAsia="Times New Roman"/>
        </w:rPr>
        <w:t xml:space="preserve"> that must be pleaded and proved by the defendant</w:t>
      </w:r>
      <w:r w:rsidR="003F3F3F" w:rsidRPr="00876921">
        <w:rPr>
          <w:rFonts w:eastAsia="Times New Roman"/>
        </w:rPr>
        <w:t>”</w:t>
      </w:r>
      <w:r w:rsidR="003F76AE" w:rsidRPr="00876921">
        <w:rPr>
          <w:rFonts w:eastAsia="Times New Roman"/>
        </w:rPr>
        <w:t xml:space="preserve"> </w:t>
      </w:r>
      <w:r w:rsidR="008E15F4" w:rsidRPr="00876921">
        <w:rPr>
          <w:bCs/>
        </w:rPr>
        <w:t>(</w:t>
      </w:r>
      <w:r w:rsidR="00AB6012" w:rsidRPr="00876921">
        <w:rPr>
          <w:bCs/>
          <w:i/>
          <w:iCs/>
        </w:rPr>
        <w:t xml:space="preserve">Davis </w:t>
      </w:r>
      <w:r w:rsidR="00AB6012" w:rsidRPr="00876921">
        <w:rPr>
          <w:bCs/>
        </w:rPr>
        <w:t>at 31-32</w:t>
      </w:r>
      <w:r w:rsidR="003E154F" w:rsidRPr="00876921">
        <w:rPr>
          <w:bCs/>
        </w:rPr>
        <w:t xml:space="preserve"> </w:t>
      </w:r>
      <w:r w:rsidR="003F76AE" w:rsidRPr="00876921">
        <w:rPr>
          <w:bCs/>
        </w:rPr>
        <w:t>[</w:t>
      </w:r>
      <w:r w:rsidR="003E154F" w:rsidRPr="00876921">
        <w:rPr>
          <w:bCs/>
        </w:rPr>
        <w:t>emphasis added</w:t>
      </w:r>
      <w:r w:rsidR="003F76AE" w:rsidRPr="00876921">
        <w:rPr>
          <w:bCs/>
        </w:rPr>
        <w:t>]</w:t>
      </w:r>
      <w:r w:rsidR="00E25615" w:rsidRPr="00876921">
        <w:rPr>
          <w:bCs/>
        </w:rPr>
        <w:t>;</w:t>
      </w:r>
      <w:r w:rsidR="003F76AE" w:rsidRPr="00876921">
        <w:rPr>
          <w:bCs/>
        </w:rPr>
        <w:t xml:space="preserve"> </w:t>
      </w:r>
      <w:r w:rsidR="003F76AE" w:rsidRPr="00876921">
        <w:rPr>
          <w:bCs/>
          <w:i/>
          <w:iCs/>
        </w:rPr>
        <w:t>se</w:t>
      </w:r>
      <w:r w:rsidR="003E154F" w:rsidRPr="00876921">
        <w:rPr>
          <w:bCs/>
          <w:i/>
          <w:iCs/>
        </w:rPr>
        <w:t>e</w:t>
      </w:r>
      <w:r w:rsidR="003B232F" w:rsidRPr="00876921">
        <w:rPr>
          <w:bCs/>
          <w:i/>
          <w:iCs/>
        </w:rPr>
        <w:t xml:space="preserve"> Devinny</w:t>
      </w:r>
      <w:r w:rsidR="00E25615" w:rsidRPr="00876921">
        <w:rPr>
          <w:bCs/>
        </w:rPr>
        <w:t xml:space="preserve"> at</w:t>
      </w:r>
      <w:r w:rsidR="000A748C" w:rsidRPr="00876921">
        <w:rPr>
          <w:bCs/>
        </w:rPr>
        <w:t xml:space="preserve"> 401 </w:t>
      </w:r>
      <w:r w:rsidR="003B232F" w:rsidRPr="00876921">
        <w:rPr>
          <w:bCs/>
        </w:rPr>
        <w:t>[“</w:t>
      </w:r>
      <w:r w:rsidR="00E25615" w:rsidRPr="00876921">
        <w:rPr>
          <w:lang w:val="en-CA"/>
        </w:rPr>
        <w:fldChar w:fldCharType="begin"/>
      </w:r>
      <w:r w:rsidR="00E25615" w:rsidRPr="00876921">
        <w:rPr>
          <w:lang w:val="en-CA"/>
        </w:rPr>
        <w:instrText xml:space="preserve"> SEQ CHAPTER \h \r 1</w:instrText>
      </w:r>
      <w:r w:rsidR="00E25615" w:rsidRPr="00876921">
        <w:rPr>
          <w:lang w:val="en-CA"/>
        </w:rPr>
        <w:fldChar w:fldCharType="end"/>
      </w:r>
      <w:r w:rsidR="00E25615" w:rsidRPr="00876921">
        <w:t xml:space="preserve">In the case at bar if it should be held that an indictment must negative all of the cases </w:t>
      </w:r>
      <w:r w:rsidR="00E25615" w:rsidRPr="00876921">
        <w:lastRenderedPageBreak/>
        <w:t>referred to in the statute as not being unlawful, it would be drawn out to intolerable lengths</w:t>
      </w:r>
      <w:r w:rsidR="008E6702" w:rsidRPr="00876921">
        <w:t>”</w:t>
      </w:r>
      <w:r w:rsidR="00744DC7" w:rsidRPr="00876921">
        <w:t>]</w:t>
      </w:r>
      <w:r w:rsidR="008E15F4" w:rsidRPr="00876921">
        <w:t>)</w:t>
      </w:r>
      <w:r w:rsidR="003F76AE" w:rsidRPr="00876921">
        <w:t>.</w:t>
      </w:r>
    </w:p>
    <w:p w14:paraId="4154B112" w14:textId="77777777" w:rsidR="00501E34" w:rsidRPr="00876921" w:rsidRDefault="00501E34" w:rsidP="00342A33">
      <w:pPr>
        <w:spacing w:before="0"/>
        <w:jc w:val="both"/>
        <w:rPr>
          <w:bCs/>
        </w:rPr>
      </w:pPr>
    </w:p>
    <w:p w14:paraId="02123EB8" w14:textId="61524EB9" w:rsidR="00420506" w:rsidRPr="00876921" w:rsidRDefault="00342A33" w:rsidP="00342A33">
      <w:pPr>
        <w:tabs>
          <w:tab w:val="left" w:pos="720"/>
        </w:tabs>
        <w:spacing w:before="0"/>
        <w:jc w:val="both"/>
      </w:pPr>
      <w:r>
        <w:tab/>
      </w:r>
      <w:r w:rsidR="0048336F" w:rsidRPr="00876921">
        <w:t>Finally</w:t>
      </w:r>
      <w:r w:rsidR="00185790" w:rsidRPr="00876921">
        <w:t xml:space="preserve">, it should be noted </w:t>
      </w:r>
      <w:r w:rsidR="00903CC4" w:rsidRPr="00876921">
        <w:t xml:space="preserve">that </w:t>
      </w:r>
      <w:r w:rsidR="00185790" w:rsidRPr="00876921">
        <w:t xml:space="preserve">on rare occasion </w:t>
      </w:r>
      <w:r w:rsidR="00FB3B28" w:rsidRPr="00876921">
        <w:t xml:space="preserve">the </w:t>
      </w:r>
      <w:r w:rsidR="003F76AE" w:rsidRPr="00876921">
        <w:t>l</w:t>
      </w:r>
      <w:r w:rsidR="00FB3B28" w:rsidRPr="00876921">
        <w:t xml:space="preserve">egislature will </w:t>
      </w:r>
      <w:r w:rsidR="00883BA5" w:rsidRPr="00876921">
        <w:t xml:space="preserve">state </w:t>
      </w:r>
      <w:r w:rsidR="00FB3B28" w:rsidRPr="00876921">
        <w:t xml:space="preserve">expressly its intention </w:t>
      </w:r>
      <w:r w:rsidR="00AF6155" w:rsidRPr="00876921">
        <w:t xml:space="preserve">on what is required of a statutory exception. </w:t>
      </w:r>
      <w:r w:rsidR="008E15F4" w:rsidRPr="00876921">
        <w:t>(</w:t>
      </w:r>
      <w:r w:rsidR="00AF6155" w:rsidRPr="00876921">
        <w:rPr>
          <w:i/>
          <w:iCs/>
        </w:rPr>
        <w:t>E.g.</w:t>
      </w:r>
      <w:r w:rsidR="00AF6155" w:rsidRPr="00876921">
        <w:t xml:space="preserve"> Public Health Law</w:t>
      </w:r>
      <w:r w:rsidR="00420506" w:rsidRPr="00876921">
        <w:t xml:space="preserve"> § 3396</w:t>
      </w:r>
      <w:r w:rsidR="003F76AE" w:rsidRPr="00876921">
        <w:t xml:space="preserve"> [</w:t>
      </w:r>
      <w:r w:rsidR="00F43C95" w:rsidRPr="00876921">
        <w:t>1</w:t>
      </w:r>
      <w:r w:rsidR="003F76AE" w:rsidRPr="00876921">
        <w:t xml:space="preserve">] </w:t>
      </w:r>
      <w:r w:rsidR="00F43C95" w:rsidRPr="00876921">
        <w:t>[“</w:t>
      </w:r>
      <w:r w:rsidR="00420506" w:rsidRPr="00876921">
        <w:t xml:space="preserve">In any civil, criminal or administrative action or proceeding brought for the enforcement of any provision of </w:t>
      </w:r>
      <w:r w:rsidR="00D71950" w:rsidRPr="00876921">
        <w:t>(article 33, Controlled Substances)</w:t>
      </w:r>
      <w:r w:rsidR="00420506" w:rsidRPr="00876921">
        <w:t>, it shall not be necessary to negate or disprove any exception, excuse, proviso or exemption contained in this article, and the burden of proof of any such exception, excuse, proviso, or exemption shall be upon the person claiming its benefit</w:t>
      </w:r>
      <w:r w:rsidR="006647C9" w:rsidRPr="00876921">
        <w:t>”].)</w:t>
      </w:r>
    </w:p>
    <w:p w14:paraId="33EC0872" w14:textId="10BA9AC0" w:rsidR="008D2CD7" w:rsidRPr="00876921" w:rsidRDefault="008D2CD7" w:rsidP="00876921">
      <w:pPr>
        <w:spacing w:before="0"/>
      </w:pPr>
    </w:p>
    <w:sectPr w:rsidR="008D2CD7" w:rsidRPr="00876921" w:rsidSect="00876921">
      <w:footerReference w:type="default" r:id="rId9"/>
      <w:endnotePr>
        <w:numFmt w:val="decimal"/>
      </w:endnotePr>
      <w:pgSz w:w="12240" w:h="15840"/>
      <w:pgMar w:top="1440" w:right="2160" w:bottom="1440" w:left="21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2496EB" w14:textId="77777777" w:rsidR="007B0A85" w:rsidRDefault="007B0A85" w:rsidP="005A16FF">
      <w:pPr>
        <w:spacing w:before="0"/>
      </w:pPr>
      <w:r>
        <w:separator/>
      </w:r>
    </w:p>
  </w:endnote>
  <w:endnote w:type="continuationSeparator" w:id="0">
    <w:p w14:paraId="2C388B6C" w14:textId="77777777" w:rsidR="007B0A85" w:rsidRDefault="007B0A85" w:rsidP="005A16FF">
      <w:pPr>
        <w:spacing w:before="0"/>
      </w:pPr>
      <w:r>
        <w:continuationSeparator/>
      </w:r>
    </w:p>
  </w:endnote>
  <w:endnote w:type="continuationNotice" w:id="1">
    <w:p w14:paraId="6D698FEE" w14:textId="77777777" w:rsidR="007B0A85" w:rsidRDefault="007B0A85">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5813370"/>
      <w:docPartObj>
        <w:docPartGallery w:val="Page Numbers (Bottom of Page)"/>
        <w:docPartUnique/>
      </w:docPartObj>
    </w:sdtPr>
    <w:sdtEndPr>
      <w:rPr>
        <w:noProof/>
      </w:rPr>
    </w:sdtEndPr>
    <w:sdtContent>
      <w:p w14:paraId="10F99AE2" w14:textId="6836744B" w:rsidR="00C31D09" w:rsidRDefault="00C31D0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33E0F4" w14:textId="77777777" w:rsidR="007B0A85" w:rsidRDefault="007B0A85" w:rsidP="005A16FF">
      <w:pPr>
        <w:spacing w:before="0"/>
      </w:pPr>
      <w:r>
        <w:separator/>
      </w:r>
    </w:p>
  </w:footnote>
  <w:footnote w:type="continuationSeparator" w:id="0">
    <w:p w14:paraId="1681FB81" w14:textId="77777777" w:rsidR="007B0A85" w:rsidRDefault="007B0A85" w:rsidP="005A16FF">
      <w:pPr>
        <w:spacing w:before="0"/>
      </w:pPr>
      <w:r>
        <w:continuationSeparator/>
      </w:r>
    </w:p>
  </w:footnote>
  <w:footnote w:type="continuationNotice" w:id="1">
    <w:p w14:paraId="1FFBE2C0" w14:textId="77777777" w:rsidR="007B0A85" w:rsidRDefault="007B0A85">
      <w:pPr>
        <w:spacing w:befor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06177"/>
    <w:multiLevelType w:val="hybridMultilevel"/>
    <w:tmpl w:val="D30AC116"/>
    <w:lvl w:ilvl="0" w:tplc="D99E13DA">
      <w:start w:val="1"/>
      <w:numFmt w:val="lowerRoman"/>
      <w:lvlText w:val="(%1)"/>
      <w:lvlJc w:val="left"/>
      <w:pPr>
        <w:ind w:left="1813" w:hanging="720"/>
      </w:pPr>
      <w:rPr>
        <w:rFonts w:hint="default"/>
      </w:rPr>
    </w:lvl>
    <w:lvl w:ilvl="1" w:tplc="04090019" w:tentative="1">
      <w:start w:val="1"/>
      <w:numFmt w:val="lowerLetter"/>
      <w:lvlText w:val="%2."/>
      <w:lvlJc w:val="left"/>
      <w:pPr>
        <w:ind w:left="2173" w:hanging="360"/>
      </w:pPr>
    </w:lvl>
    <w:lvl w:ilvl="2" w:tplc="0409001B" w:tentative="1">
      <w:start w:val="1"/>
      <w:numFmt w:val="lowerRoman"/>
      <w:lvlText w:val="%3."/>
      <w:lvlJc w:val="right"/>
      <w:pPr>
        <w:ind w:left="2893" w:hanging="180"/>
      </w:pPr>
    </w:lvl>
    <w:lvl w:ilvl="3" w:tplc="0409000F" w:tentative="1">
      <w:start w:val="1"/>
      <w:numFmt w:val="decimal"/>
      <w:lvlText w:val="%4."/>
      <w:lvlJc w:val="left"/>
      <w:pPr>
        <w:ind w:left="3613" w:hanging="360"/>
      </w:pPr>
    </w:lvl>
    <w:lvl w:ilvl="4" w:tplc="04090019" w:tentative="1">
      <w:start w:val="1"/>
      <w:numFmt w:val="lowerLetter"/>
      <w:lvlText w:val="%5."/>
      <w:lvlJc w:val="left"/>
      <w:pPr>
        <w:ind w:left="4333" w:hanging="360"/>
      </w:pPr>
    </w:lvl>
    <w:lvl w:ilvl="5" w:tplc="0409001B" w:tentative="1">
      <w:start w:val="1"/>
      <w:numFmt w:val="lowerRoman"/>
      <w:lvlText w:val="%6."/>
      <w:lvlJc w:val="right"/>
      <w:pPr>
        <w:ind w:left="5053" w:hanging="180"/>
      </w:pPr>
    </w:lvl>
    <w:lvl w:ilvl="6" w:tplc="0409000F" w:tentative="1">
      <w:start w:val="1"/>
      <w:numFmt w:val="decimal"/>
      <w:lvlText w:val="%7."/>
      <w:lvlJc w:val="left"/>
      <w:pPr>
        <w:ind w:left="5773" w:hanging="360"/>
      </w:pPr>
    </w:lvl>
    <w:lvl w:ilvl="7" w:tplc="04090019" w:tentative="1">
      <w:start w:val="1"/>
      <w:numFmt w:val="lowerLetter"/>
      <w:lvlText w:val="%8."/>
      <w:lvlJc w:val="left"/>
      <w:pPr>
        <w:ind w:left="6493" w:hanging="360"/>
      </w:pPr>
    </w:lvl>
    <w:lvl w:ilvl="8" w:tplc="0409001B" w:tentative="1">
      <w:start w:val="1"/>
      <w:numFmt w:val="lowerRoman"/>
      <w:lvlText w:val="%9."/>
      <w:lvlJc w:val="right"/>
      <w:pPr>
        <w:ind w:left="7213" w:hanging="180"/>
      </w:pPr>
    </w:lvl>
  </w:abstractNum>
  <w:abstractNum w:abstractNumId="1" w15:restartNumberingAfterBreak="0">
    <w:nsid w:val="37CA7269"/>
    <w:multiLevelType w:val="multilevel"/>
    <w:tmpl w:val="F58CAC28"/>
    <w:lvl w:ilvl="0">
      <w:start w:val="4"/>
      <w:numFmt w:val="decimal"/>
      <w:lvlText w:val="%1"/>
      <w:lvlJc w:val="left"/>
      <w:pPr>
        <w:ind w:left="525" w:hanging="525"/>
      </w:pPr>
      <w:rPr>
        <w:rFonts w:hint="default"/>
      </w:rPr>
    </w:lvl>
    <w:lvl w:ilvl="1">
      <w:start w:val="33"/>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4A295ACA"/>
    <w:multiLevelType w:val="hybridMultilevel"/>
    <w:tmpl w:val="86808610"/>
    <w:lvl w:ilvl="0" w:tplc="314A6A38">
      <w:start w:val="1"/>
      <w:numFmt w:val="lowerRoman"/>
      <w:lvlText w:val="(%1)"/>
      <w:lvlJc w:val="left"/>
      <w:pPr>
        <w:ind w:left="1813" w:hanging="720"/>
      </w:pPr>
      <w:rPr>
        <w:rFonts w:hint="default"/>
      </w:rPr>
    </w:lvl>
    <w:lvl w:ilvl="1" w:tplc="04090019" w:tentative="1">
      <w:start w:val="1"/>
      <w:numFmt w:val="lowerLetter"/>
      <w:lvlText w:val="%2."/>
      <w:lvlJc w:val="left"/>
      <w:pPr>
        <w:ind w:left="2173" w:hanging="360"/>
      </w:pPr>
    </w:lvl>
    <w:lvl w:ilvl="2" w:tplc="0409001B" w:tentative="1">
      <w:start w:val="1"/>
      <w:numFmt w:val="lowerRoman"/>
      <w:lvlText w:val="%3."/>
      <w:lvlJc w:val="right"/>
      <w:pPr>
        <w:ind w:left="2893" w:hanging="180"/>
      </w:pPr>
    </w:lvl>
    <w:lvl w:ilvl="3" w:tplc="0409000F" w:tentative="1">
      <w:start w:val="1"/>
      <w:numFmt w:val="decimal"/>
      <w:lvlText w:val="%4."/>
      <w:lvlJc w:val="left"/>
      <w:pPr>
        <w:ind w:left="3613" w:hanging="360"/>
      </w:pPr>
    </w:lvl>
    <w:lvl w:ilvl="4" w:tplc="04090019" w:tentative="1">
      <w:start w:val="1"/>
      <w:numFmt w:val="lowerLetter"/>
      <w:lvlText w:val="%5."/>
      <w:lvlJc w:val="left"/>
      <w:pPr>
        <w:ind w:left="4333" w:hanging="360"/>
      </w:pPr>
    </w:lvl>
    <w:lvl w:ilvl="5" w:tplc="0409001B" w:tentative="1">
      <w:start w:val="1"/>
      <w:numFmt w:val="lowerRoman"/>
      <w:lvlText w:val="%6."/>
      <w:lvlJc w:val="right"/>
      <w:pPr>
        <w:ind w:left="5053" w:hanging="180"/>
      </w:pPr>
    </w:lvl>
    <w:lvl w:ilvl="6" w:tplc="0409000F" w:tentative="1">
      <w:start w:val="1"/>
      <w:numFmt w:val="decimal"/>
      <w:lvlText w:val="%7."/>
      <w:lvlJc w:val="left"/>
      <w:pPr>
        <w:ind w:left="5773" w:hanging="360"/>
      </w:pPr>
    </w:lvl>
    <w:lvl w:ilvl="7" w:tplc="04090019" w:tentative="1">
      <w:start w:val="1"/>
      <w:numFmt w:val="lowerLetter"/>
      <w:lvlText w:val="%8."/>
      <w:lvlJc w:val="left"/>
      <w:pPr>
        <w:ind w:left="6493" w:hanging="360"/>
      </w:pPr>
    </w:lvl>
    <w:lvl w:ilvl="8" w:tplc="0409001B" w:tentative="1">
      <w:start w:val="1"/>
      <w:numFmt w:val="lowerRoman"/>
      <w:lvlText w:val="%9."/>
      <w:lvlJc w:val="right"/>
      <w:pPr>
        <w:ind w:left="7213" w:hanging="180"/>
      </w:pPr>
    </w:lvl>
  </w:abstractNum>
  <w:abstractNum w:abstractNumId="3" w15:restartNumberingAfterBreak="0">
    <w:nsid w:val="50EA6769"/>
    <w:multiLevelType w:val="hybridMultilevel"/>
    <w:tmpl w:val="9CE8DA84"/>
    <w:lvl w:ilvl="0" w:tplc="21E23946">
      <w:start w:val="1"/>
      <w:numFmt w:val="decimal"/>
      <w:lvlText w:val="(%1)"/>
      <w:lvlJc w:val="left"/>
      <w:pPr>
        <w:ind w:left="1093" w:hanging="373"/>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FA97A30"/>
    <w:multiLevelType w:val="hybridMultilevel"/>
    <w:tmpl w:val="FCCA5884"/>
    <w:lvl w:ilvl="0" w:tplc="56789A68">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7F73323B"/>
    <w:multiLevelType w:val="hybridMultilevel"/>
    <w:tmpl w:val="A57031BE"/>
    <w:lvl w:ilvl="0" w:tplc="461C32D6">
      <w:start w:val="1"/>
      <w:numFmt w:val="lowerRoman"/>
      <w:lvlText w:val="(%1)"/>
      <w:lvlJc w:val="left"/>
      <w:pPr>
        <w:ind w:left="1813" w:hanging="720"/>
      </w:pPr>
      <w:rPr>
        <w:rFonts w:hint="default"/>
      </w:rPr>
    </w:lvl>
    <w:lvl w:ilvl="1" w:tplc="04090019" w:tentative="1">
      <w:start w:val="1"/>
      <w:numFmt w:val="lowerLetter"/>
      <w:lvlText w:val="%2."/>
      <w:lvlJc w:val="left"/>
      <w:pPr>
        <w:ind w:left="2173" w:hanging="360"/>
      </w:pPr>
    </w:lvl>
    <w:lvl w:ilvl="2" w:tplc="0409001B" w:tentative="1">
      <w:start w:val="1"/>
      <w:numFmt w:val="lowerRoman"/>
      <w:lvlText w:val="%3."/>
      <w:lvlJc w:val="right"/>
      <w:pPr>
        <w:ind w:left="2893" w:hanging="180"/>
      </w:pPr>
    </w:lvl>
    <w:lvl w:ilvl="3" w:tplc="0409000F" w:tentative="1">
      <w:start w:val="1"/>
      <w:numFmt w:val="decimal"/>
      <w:lvlText w:val="%4."/>
      <w:lvlJc w:val="left"/>
      <w:pPr>
        <w:ind w:left="3613" w:hanging="360"/>
      </w:pPr>
    </w:lvl>
    <w:lvl w:ilvl="4" w:tplc="04090019" w:tentative="1">
      <w:start w:val="1"/>
      <w:numFmt w:val="lowerLetter"/>
      <w:lvlText w:val="%5."/>
      <w:lvlJc w:val="left"/>
      <w:pPr>
        <w:ind w:left="4333" w:hanging="360"/>
      </w:pPr>
    </w:lvl>
    <w:lvl w:ilvl="5" w:tplc="0409001B" w:tentative="1">
      <w:start w:val="1"/>
      <w:numFmt w:val="lowerRoman"/>
      <w:lvlText w:val="%6."/>
      <w:lvlJc w:val="right"/>
      <w:pPr>
        <w:ind w:left="5053" w:hanging="180"/>
      </w:pPr>
    </w:lvl>
    <w:lvl w:ilvl="6" w:tplc="0409000F" w:tentative="1">
      <w:start w:val="1"/>
      <w:numFmt w:val="decimal"/>
      <w:lvlText w:val="%7."/>
      <w:lvlJc w:val="left"/>
      <w:pPr>
        <w:ind w:left="5773" w:hanging="360"/>
      </w:pPr>
    </w:lvl>
    <w:lvl w:ilvl="7" w:tplc="04090019" w:tentative="1">
      <w:start w:val="1"/>
      <w:numFmt w:val="lowerLetter"/>
      <w:lvlText w:val="%8."/>
      <w:lvlJc w:val="left"/>
      <w:pPr>
        <w:ind w:left="6493" w:hanging="360"/>
      </w:pPr>
    </w:lvl>
    <w:lvl w:ilvl="8" w:tplc="0409001B" w:tentative="1">
      <w:start w:val="1"/>
      <w:numFmt w:val="lowerRoman"/>
      <w:lvlText w:val="%9."/>
      <w:lvlJc w:val="right"/>
      <w:pPr>
        <w:ind w:left="7213" w:hanging="180"/>
      </w:pPr>
    </w:lvl>
  </w:abstractNum>
  <w:num w:numId="1" w16cid:durableId="327636912">
    <w:abstractNumId w:val="3"/>
  </w:num>
  <w:num w:numId="2" w16cid:durableId="157817264">
    <w:abstractNumId w:val="0"/>
  </w:num>
  <w:num w:numId="3" w16cid:durableId="49502539">
    <w:abstractNumId w:val="2"/>
  </w:num>
  <w:num w:numId="4" w16cid:durableId="1189876089">
    <w:abstractNumId w:val="5"/>
  </w:num>
  <w:num w:numId="5" w16cid:durableId="64481777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5416597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126851597">
    <w:abstractNumId w:val="4"/>
  </w:num>
  <w:num w:numId="8" w16cid:durableId="6224179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drawingGridHorizontalSpacing w:val="110"/>
  <w:displayHorizontalDrawingGridEvery w:val="2"/>
  <w:displayVerticalDrawingGridEvery w:val="2"/>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LawMDC1MDUxMDAxNzZT0lEKTi0uzszPAykwrwUAbWCNyywAAAA="/>
  </w:docVars>
  <w:rsids>
    <w:rsidRoot w:val="00A73280"/>
    <w:rsid w:val="000021B3"/>
    <w:rsid w:val="000029E0"/>
    <w:rsid w:val="00004BD2"/>
    <w:rsid w:val="000109EC"/>
    <w:rsid w:val="00011EA5"/>
    <w:rsid w:val="00017D87"/>
    <w:rsid w:val="000200C4"/>
    <w:rsid w:val="0002169C"/>
    <w:rsid w:val="0003008D"/>
    <w:rsid w:val="00032CE6"/>
    <w:rsid w:val="00036562"/>
    <w:rsid w:val="000379CD"/>
    <w:rsid w:val="000418DC"/>
    <w:rsid w:val="00043C57"/>
    <w:rsid w:val="00046E55"/>
    <w:rsid w:val="00046E99"/>
    <w:rsid w:val="000506E1"/>
    <w:rsid w:val="000510C1"/>
    <w:rsid w:val="0005156D"/>
    <w:rsid w:val="00056808"/>
    <w:rsid w:val="000636FA"/>
    <w:rsid w:val="00065F3D"/>
    <w:rsid w:val="0007108F"/>
    <w:rsid w:val="00071223"/>
    <w:rsid w:val="000751E9"/>
    <w:rsid w:val="00075CA0"/>
    <w:rsid w:val="00076036"/>
    <w:rsid w:val="00076592"/>
    <w:rsid w:val="000809DC"/>
    <w:rsid w:val="000833A8"/>
    <w:rsid w:val="0008411C"/>
    <w:rsid w:val="00084514"/>
    <w:rsid w:val="0008504D"/>
    <w:rsid w:val="00086332"/>
    <w:rsid w:val="0009089E"/>
    <w:rsid w:val="00091B41"/>
    <w:rsid w:val="000924B2"/>
    <w:rsid w:val="00094B57"/>
    <w:rsid w:val="00094BBC"/>
    <w:rsid w:val="000A17EE"/>
    <w:rsid w:val="000A1D0C"/>
    <w:rsid w:val="000A1FEC"/>
    <w:rsid w:val="000A326C"/>
    <w:rsid w:val="000A6660"/>
    <w:rsid w:val="000A748C"/>
    <w:rsid w:val="000B38D0"/>
    <w:rsid w:val="000B3F2A"/>
    <w:rsid w:val="000B4C0A"/>
    <w:rsid w:val="000B50D6"/>
    <w:rsid w:val="000C3A1F"/>
    <w:rsid w:val="000C5362"/>
    <w:rsid w:val="000C781F"/>
    <w:rsid w:val="000D2854"/>
    <w:rsid w:val="000D344C"/>
    <w:rsid w:val="000D4A09"/>
    <w:rsid w:val="000D6B77"/>
    <w:rsid w:val="000D74E6"/>
    <w:rsid w:val="000D7807"/>
    <w:rsid w:val="000E2E20"/>
    <w:rsid w:val="000E2F33"/>
    <w:rsid w:val="000F33B5"/>
    <w:rsid w:val="000F5B4A"/>
    <w:rsid w:val="000F6462"/>
    <w:rsid w:val="000F7857"/>
    <w:rsid w:val="001003EB"/>
    <w:rsid w:val="00101018"/>
    <w:rsid w:val="0010144D"/>
    <w:rsid w:val="00110006"/>
    <w:rsid w:val="001105DF"/>
    <w:rsid w:val="00120063"/>
    <w:rsid w:val="00125C9E"/>
    <w:rsid w:val="00130315"/>
    <w:rsid w:val="00130D5E"/>
    <w:rsid w:val="00131658"/>
    <w:rsid w:val="00132A25"/>
    <w:rsid w:val="00132B8B"/>
    <w:rsid w:val="001402D7"/>
    <w:rsid w:val="001455DB"/>
    <w:rsid w:val="00146FD6"/>
    <w:rsid w:val="00151DE7"/>
    <w:rsid w:val="00152B76"/>
    <w:rsid w:val="00153D48"/>
    <w:rsid w:val="001541D0"/>
    <w:rsid w:val="0016506E"/>
    <w:rsid w:val="00171B5F"/>
    <w:rsid w:val="001745E3"/>
    <w:rsid w:val="00176557"/>
    <w:rsid w:val="001776CC"/>
    <w:rsid w:val="00177F68"/>
    <w:rsid w:val="001827E2"/>
    <w:rsid w:val="001843AC"/>
    <w:rsid w:val="001849BF"/>
    <w:rsid w:val="00185790"/>
    <w:rsid w:val="00187B3A"/>
    <w:rsid w:val="00191830"/>
    <w:rsid w:val="00192F51"/>
    <w:rsid w:val="00193A3B"/>
    <w:rsid w:val="00196B22"/>
    <w:rsid w:val="00197C32"/>
    <w:rsid w:val="001A4AD0"/>
    <w:rsid w:val="001B0A1B"/>
    <w:rsid w:val="001B1A95"/>
    <w:rsid w:val="001B28D6"/>
    <w:rsid w:val="001B390E"/>
    <w:rsid w:val="001B48D0"/>
    <w:rsid w:val="001B4A4A"/>
    <w:rsid w:val="001B5EB7"/>
    <w:rsid w:val="001C2C69"/>
    <w:rsid w:val="001C3752"/>
    <w:rsid w:val="001C4BBB"/>
    <w:rsid w:val="001C6292"/>
    <w:rsid w:val="001C6B82"/>
    <w:rsid w:val="001D2550"/>
    <w:rsid w:val="001D4F9F"/>
    <w:rsid w:val="001D4FE4"/>
    <w:rsid w:val="001E04FF"/>
    <w:rsid w:val="001E1036"/>
    <w:rsid w:val="001E6862"/>
    <w:rsid w:val="001E6B0C"/>
    <w:rsid w:val="001F1FCE"/>
    <w:rsid w:val="001F35DE"/>
    <w:rsid w:val="001F469E"/>
    <w:rsid w:val="001F53B5"/>
    <w:rsid w:val="001F7B4B"/>
    <w:rsid w:val="00200149"/>
    <w:rsid w:val="00202333"/>
    <w:rsid w:val="002040C2"/>
    <w:rsid w:val="00205288"/>
    <w:rsid w:val="00205DF5"/>
    <w:rsid w:val="00206D44"/>
    <w:rsid w:val="00215A2F"/>
    <w:rsid w:val="00217E62"/>
    <w:rsid w:val="00220D11"/>
    <w:rsid w:val="00220DE3"/>
    <w:rsid w:val="00222633"/>
    <w:rsid w:val="00222956"/>
    <w:rsid w:val="00224396"/>
    <w:rsid w:val="00232992"/>
    <w:rsid w:val="0023699D"/>
    <w:rsid w:val="00241EA2"/>
    <w:rsid w:val="00244E81"/>
    <w:rsid w:val="00251D65"/>
    <w:rsid w:val="00253EE4"/>
    <w:rsid w:val="00254815"/>
    <w:rsid w:val="00262E13"/>
    <w:rsid w:val="002677B2"/>
    <w:rsid w:val="002705D2"/>
    <w:rsid w:val="00271926"/>
    <w:rsid w:val="00273217"/>
    <w:rsid w:val="0027410A"/>
    <w:rsid w:val="0027671F"/>
    <w:rsid w:val="0028182D"/>
    <w:rsid w:val="00281B9E"/>
    <w:rsid w:val="00282C65"/>
    <w:rsid w:val="00284786"/>
    <w:rsid w:val="00290AE9"/>
    <w:rsid w:val="002927B4"/>
    <w:rsid w:val="002930BF"/>
    <w:rsid w:val="00297280"/>
    <w:rsid w:val="002A0E94"/>
    <w:rsid w:val="002B0442"/>
    <w:rsid w:val="002B3A93"/>
    <w:rsid w:val="002B3C3E"/>
    <w:rsid w:val="002B3F9A"/>
    <w:rsid w:val="002B648A"/>
    <w:rsid w:val="002B675E"/>
    <w:rsid w:val="002C08F2"/>
    <w:rsid w:val="002C21C8"/>
    <w:rsid w:val="002C3451"/>
    <w:rsid w:val="002C37CF"/>
    <w:rsid w:val="002D0678"/>
    <w:rsid w:val="002D1048"/>
    <w:rsid w:val="002D2017"/>
    <w:rsid w:val="002D4C51"/>
    <w:rsid w:val="002D5786"/>
    <w:rsid w:val="002D7F3C"/>
    <w:rsid w:val="002E5C52"/>
    <w:rsid w:val="002E5E55"/>
    <w:rsid w:val="002E7EC4"/>
    <w:rsid w:val="002E7F24"/>
    <w:rsid w:val="002F04FC"/>
    <w:rsid w:val="002F2782"/>
    <w:rsid w:val="002F42C1"/>
    <w:rsid w:val="002F549B"/>
    <w:rsid w:val="002F62F4"/>
    <w:rsid w:val="002F7A2A"/>
    <w:rsid w:val="00302D10"/>
    <w:rsid w:val="00303AE8"/>
    <w:rsid w:val="00303F60"/>
    <w:rsid w:val="0030518C"/>
    <w:rsid w:val="00307ED8"/>
    <w:rsid w:val="003146E2"/>
    <w:rsid w:val="003154D7"/>
    <w:rsid w:val="00316E1D"/>
    <w:rsid w:val="00322B0A"/>
    <w:rsid w:val="00323EC6"/>
    <w:rsid w:val="00325B26"/>
    <w:rsid w:val="003313A1"/>
    <w:rsid w:val="003358D8"/>
    <w:rsid w:val="00337C58"/>
    <w:rsid w:val="00341A89"/>
    <w:rsid w:val="00342A33"/>
    <w:rsid w:val="00343EB1"/>
    <w:rsid w:val="003464D2"/>
    <w:rsid w:val="003472CC"/>
    <w:rsid w:val="0034779D"/>
    <w:rsid w:val="00347AD9"/>
    <w:rsid w:val="0035060D"/>
    <w:rsid w:val="00350DD1"/>
    <w:rsid w:val="0035532D"/>
    <w:rsid w:val="00356280"/>
    <w:rsid w:val="00357B06"/>
    <w:rsid w:val="00357C0F"/>
    <w:rsid w:val="0036047C"/>
    <w:rsid w:val="00362668"/>
    <w:rsid w:val="00370769"/>
    <w:rsid w:val="00371187"/>
    <w:rsid w:val="00371D99"/>
    <w:rsid w:val="0037467A"/>
    <w:rsid w:val="00374AFF"/>
    <w:rsid w:val="00377F26"/>
    <w:rsid w:val="00380F7D"/>
    <w:rsid w:val="003828EE"/>
    <w:rsid w:val="00386C74"/>
    <w:rsid w:val="00390254"/>
    <w:rsid w:val="0039374A"/>
    <w:rsid w:val="00393D33"/>
    <w:rsid w:val="00395BC1"/>
    <w:rsid w:val="003A0125"/>
    <w:rsid w:val="003A185C"/>
    <w:rsid w:val="003A39B4"/>
    <w:rsid w:val="003B13B4"/>
    <w:rsid w:val="003B232F"/>
    <w:rsid w:val="003B365A"/>
    <w:rsid w:val="003B3FF7"/>
    <w:rsid w:val="003B43F1"/>
    <w:rsid w:val="003B47CB"/>
    <w:rsid w:val="003B508B"/>
    <w:rsid w:val="003B58AE"/>
    <w:rsid w:val="003C18D7"/>
    <w:rsid w:val="003C3DA9"/>
    <w:rsid w:val="003C41EC"/>
    <w:rsid w:val="003C5BD2"/>
    <w:rsid w:val="003C6F2A"/>
    <w:rsid w:val="003D0C52"/>
    <w:rsid w:val="003D1F18"/>
    <w:rsid w:val="003D2100"/>
    <w:rsid w:val="003D297A"/>
    <w:rsid w:val="003D2FF9"/>
    <w:rsid w:val="003D353A"/>
    <w:rsid w:val="003D4E9E"/>
    <w:rsid w:val="003D7C76"/>
    <w:rsid w:val="003D7D94"/>
    <w:rsid w:val="003E154F"/>
    <w:rsid w:val="003E51CE"/>
    <w:rsid w:val="003E64C1"/>
    <w:rsid w:val="003F3916"/>
    <w:rsid w:val="003F3F3F"/>
    <w:rsid w:val="003F3F58"/>
    <w:rsid w:val="003F6404"/>
    <w:rsid w:val="003F76AE"/>
    <w:rsid w:val="004013C0"/>
    <w:rsid w:val="004020AB"/>
    <w:rsid w:val="00403C4A"/>
    <w:rsid w:val="00410314"/>
    <w:rsid w:val="00415015"/>
    <w:rsid w:val="004150B4"/>
    <w:rsid w:val="00416BC9"/>
    <w:rsid w:val="00420506"/>
    <w:rsid w:val="004223A4"/>
    <w:rsid w:val="00424195"/>
    <w:rsid w:val="004242CF"/>
    <w:rsid w:val="0042485D"/>
    <w:rsid w:val="0042657D"/>
    <w:rsid w:val="004273EE"/>
    <w:rsid w:val="004315F4"/>
    <w:rsid w:val="004317DC"/>
    <w:rsid w:val="00432A3C"/>
    <w:rsid w:val="00434179"/>
    <w:rsid w:val="00434DC9"/>
    <w:rsid w:val="00435958"/>
    <w:rsid w:val="00435AC7"/>
    <w:rsid w:val="004428E0"/>
    <w:rsid w:val="00444002"/>
    <w:rsid w:val="00445564"/>
    <w:rsid w:val="00446EEF"/>
    <w:rsid w:val="00451719"/>
    <w:rsid w:val="00452D63"/>
    <w:rsid w:val="00454B25"/>
    <w:rsid w:val="004602A8"/>
    <w:rsid w:val="004608B9"/>
    <w:rsid w:val="00461172"/>
    <w:rsid w:val="00461B59"/>
    <w:rsid w:val="00464F43"/>
    <w:rsid w:val="00467149"/>
    <w:rsid w:val="00475D79"/>
    <w:rsid w:val="004769E4"/>
    <w:rsid w:val="00481E00"/>
    <w:rsid w:val="0048336F"/>
    <w:rsid w:val="004836AC"/>
    <w:rsid w:val="00484257"/>
    <w:rsid w:val="00490C63"/>
    <w:rsid w:val="0049122D"/>
    <w:rsid w:val="00493523"/>
    <w:rsid w:val="00493DD9"/>
    <w:rsid w:val="004968DE"/>
    <w:rsid w:val="00497B09"/>
    <w:rsid w:val="00497B8E"/>
    <w:rsid w:val="004A0358"/>
    <w:rsid w:val="004A3D74"/>
    <w:rsid w:val="004A79B3"/>
    <w:rsid w:val="004B3F76"/>
    <w:rsid w:val="004B4DA7"/>
    <w:rsid w:val="004B5B3D"/>
    <w:rsid w:val="004B7268"/>
    <w:rsid w:val="004C14D6"/>
    <w:rsid w:val="004C1871"/>
    <w:rsid w:val="004C1960"/>
    <w:rsid w:val="004D5978"/>
    <w:rsid w:val="004D613D"/>
    <w:rsid w:val="004D7416"/>
    <w:rsid w:val="004D7CEA"/>
    <w:rsid w:val="004E0070"/>
    <w:rsid w:val="004E1A17"/>
    <w:rsid w:val="004E2792"/>
    <w:rsid w:val="004E2F5F"/>
    <w:rsid w:val="004E3616"/>
    <w:rsid w:val="004E62F4"/>
    <w:rsid w:val="004F050C"/>
    <w:rsid w:val="004F2290"/>
    <w:rsid w:val="004F28E1"/>
    <w:rsid w:val="004F4C77"/>
    <w:rsid w:val="004F79D5"/>
    <w:rsid w:val="005013CD"/>
    <w:rsid w:val="00501E34"/>
    <w:rsid w:val="00502299"/>
    <w:rsid w:val="00502C4C"/>
    <w:rsid w:val="00506262"/>
    <w:rsid w:val="00511FCD"/>
    <w:rsid w:val="00512388"/>
    <w:rsid w:val="0051248C"/>
    <w:rsid w:val="00513CA4"/>
    <w:rsid w:val="005142EF"/>
    <w:rsid w:val="00517785"/>
    <w:rsid w:val="0052136B"/>
    <w:rsid w:val="00522C36"/>
    <w:rsid w:val="00525536"/>
    <w:rsid w:val="005267B3"/>
    <w:rsid w:val="00526F27"/>
    <w:rsid w:val="005331C3"/>
    <w:rsid w:val="00533513"/>
    <w:rsid w:val="00534B61"/>
    <w:rsid w:val="00534C30"/>
    <w:rsid w:val="00537C86"/>
    <w:rsid w:val="00540181"/>
    <w:rsid w:val="00540309"/>
    <w:rsid w:val="0054112D"/>
    <w:rsid w:val="00541B5B"/>
    <w:rsid w:val="0054317F"/>
    <w:rsid w:val="00545D27"/>
    <w:rsid w:val="00546FB3"/>
    <w:rsid w:val="00550039"/>
    <w:rsid w:val="00551DCF"/>
    <w:rsid w:val="00556B16"/>
    <w:rsid w:val="00561181"/>
    <w:rsid w:val="00561E1E"/>
    <w:rsid w:val="00562062"/>
    <w:rsid w:val="005633BD"/>
    <w:rsid w:val="005645DB"/>
    <w:rsid w:val="00565DB3"/>
    <w:rsid w:val="005747E9"/>
    <w:rsid w:val="00575B30"/>
    <w:rsid w:val="00580D12"/>
    <w:rsid w:val="00582E14"/>
    <w:rsid w:val="00583CD4"/>
    <w:rsid w:val="00586FBF"/>
    <w:rsid w:val="0058710B"/>
    <w:rsid w:val="00590317"/>
    <w:rsid w:val="00590E2E"/>
    <w:rsid w:val="00591846"/>
    <w:rsid w:val="00595170"/>
    <w:rsid w:val="005954DD"/>
    <w:rsid w:val="005A16FF"/>
    <w:rsid w:val="005A709D"/>
    <w:rsid w:val="005A73E2"/>
    <w:rsid w:val="005A7CEC"/>
    <w:rsid w:val="005B0324"/>
    <w:rsid w:val="005B64E1"/>
    <w:rsid w:val="005C0D01"/>
    <w:rsid w:val="005C0D0D"/>
    <w:rsid w:val="005C173E"/>
    <w:rsid w:val="005C3C11"/>
    <w:rsid w:val="005C4B37"/>
    <w:rsid w:val="005C62B3"/>
    <w:rsid w:val="005C68E3"/>
    <w:rsid w:val="005C7945"/>
    <w:rsid w:val="005C7B05"/>
    <w:rsid w:val="005D008E"/>
    <w:rsid w:val="005D17B7"/>
    <w:rsid w:val="005D26D4"/>
    <w:rsid w:val="005D43F9"/>
    <w:rsid w:val="005D6F65"/>
    <w:rsid w:val="005E018D"/>
    <w:rsid w:val="005E16A8"/>
    <w:rsid w:val="005E2CDC"/>
    <w:rsid w:val="005E3983"/>
    <w:rsid w:val="005E4E02"/>
    <w:rsid w:val="005E4F24"/>
    <w:rsid w:val="005E6AB3"/>
    <w:rsid w:val="005F112B"/>
    <w:rsid w:val="005F30FD"/>
    <w:rsid w:val="00600CAE"/>
    <w:rsid w:val="006042A1"/>
    <w:rsid w:val="00611155"/>
    <w:rsid w:val="0061349C"/>
    <w:rsid w:val="00617BF1"/>
    <w:rsid w:val="00623817"/>
    <w:rsid w:val="00632710"/>
    <w:rsid w:val="00632DEE"/>
    <w:rsid w:val="0063480A"/>
    <w:rsid w:val="00635A6A"/>
    <w:rsid w:val="00636228"/>
    <w:rsid w:val="00636B64"/>
    <w:rsid w:val="00636BDA"/>
    <w:rsid w:val="0064157C"/>
    <w:rsid w:val="00642F97"/>
    <w:rsid w:val="0064449E"/>
    <w:rsid w:val="006457EE"/>
    <w:rsid w:val="006472C0"/>
    <w:rsid w:val="00651DDE"/>
    <w:rsid w:val="006535CC"/>
    <w:rsid w:val="0065484B"/>
    <w:rsid w:val="00656EA1"/>
    <w:rsid w:val="0066300E"/>
    <w:rsid w:val="00664036"/>
    <w:rsid w:val="006647C9"/>
    <w:rsid w:val="006649FA"/>
    <w:rsid w:val="00671FA8"/>
    <w:rsid w:val="0067205B"/>
    <w:rsid w:val="00672B93"/>
    <w:rsid w:val="00674EBE"/>
    <w:rsid w:val="006764C8"/>
    <w:rsid w:val="006805A5"/>
    <w:rsid w:val="00684320"/>
    <w:rsid w:val="00687892"/>
    <w:rsid w:val="006931FE"/>
    <w:rsid w:val="00693935"/>
    <w:rsid w:val="00695B22"/>
    <w:rsid w:val="00697B04"/>
    <w:rsid w:val="006A299C"/>
    <w:rsid w:val="006A39FA"/>
    <w:rsid w:val="006A5141"/>
    <w:rsid w:val="006A55C6"/>
    <w:rsid w:val="006B33E1"/>
    <w:rsid w:val="006B341B"/>
    <w:rsid w:val="006B62BB"/>
    <w:rsid w:val="006C1220"/>
    <w:rsid w:val="006C2C2F"/>
    <w:rsid w:val="006C4C2D"/>
    <w:rsid w:val="006C54AB"/>
    <w:rsid w:val="006C573E"/>
    <w:rsid w:val="006D0FF1"/>
    <w:rsid w:val="006D1DC2"/>
    <w:rsid w:val="006D3D1C"/>
    <w:rsid w:val="006D3E8E"/>
    <w:rsid w:val="006D5899"/>
    <w:rsid w:val="006D6425"/>
    <w:rsid w:val="006D71B0"/>
    <w:rsid w:val="006D77C3"/>
    <w:rsid w:val="006E343A"/>
    <w:rsid w:val="006E730E"/>
    <w:rsid w:val="006E7804"/>
    <w:rsid w:val="006F0AAB"/>
    <w:rsid w:val="006F2503"/>
    <w:rsid w:val="006F3446"/>
    <w:rsid w:val="006F4C3B"/>
    <w:rsid w:val="006F5B44"/>
    <w:rsid w:val="006F6B73"/>
    <w:rsid w:val="00700023"/>
    <w:rsid w:val="00700A06"/>
    <w:rsid w:val="007033F5"/>
    <w:rsid w:val="007046B0"/>
    <w:rsid w:val="00705201"/>
    <w:rsid w:val="00705FE2"/>
    <w:rsid w:val="00706132"/>
    <w:rsid w:val="00706711"/>
    <w:rsid w:val="007104C7"/>
    <w:rsid w:val="00711BCC"/>
    <w:rsid w:val="00712F13"/>
    <w:rsid w:val="00713057"/>
    <w:rsid w:val="00716D7A"/>
    <w:rsid w:val="00717A3A"/>
    <w:rsid w:val="007236C7"/>
    <w:rsid w:val="00724A0E"/>
    <w:rsid w:val="007257D4"/>
    <w:rsid w:val="00725CB1"/>
    <w:rsid w:val="0072712E"/>
    <w:rsid w:val="0072731F"/>
    <w:rsid w:val="00727599"/>
    <w:rsid w:val="007326A6"/>
    <w:rsid w:val="007379FA"/>
    <w:rsid w:val="007403AF"/>
    <w:rsid w:val="00743660"/>
    <w:rsid w:val="00743CB6"/>
    <w:rsid w:val="00744DC7"/>
    <w:rsid w:val="00745182"/>
    <w:rsid w:val="007464C9"/>
    <w:rsid w:val="007509AD"/>
    <w:rsid w:val="00751168"/>
    <w:rsid w:val="00751203"/>
    <w:rsid w:val="00751740"/>
    <w:rsid w:val="00751896"/>
    <w:rsid w:val="00756652"/>
    <w:rsid w:val="00756DF7"/>
    <w:rsid w:val="0075767E"/>
    <w:rsid w:val="00763BF1"/>
    <w:rsid w:val="00764AC5"/>
    <w:rsid w:val="007653EF"/>
    <w:rsid w:val="00766797"/>
    <w:rsid w:val="00774624"/>
    <w:rsid w:val="00776B83"/>
    <w:rsid w:val="00777AA2"/>
    <w:rsid w:val="007800C3"/>
    <w:rsid w:val="00781374"/>
    <w:rsid w:val="007834B0"/>
    <w:rsid w:val="00785344"/>
    <w:rsid w:val="00790258"/>
    <w:rsid w:val="00791734"/>
    <w:rsid w:val="00791846"/>
    <w:rsid w:val="00792169"/>
    <w:rsid w:val="00792C9F"/>
    <w:rsid w:val="00793DA1"/>
    <w:rsid w:val="00796D0F"/>
    <w:rsid w:val="00796FB3"/>
    <w:rsid w:val="007A016D"/>
    <w:rsid w:val="007A1392"/>
    <w:rsid w:val="007A2DEB"/>
    <w:rsid w:val="007A36AC"/>
    <w:rsid w:val="007A7ADB"/>
    <w:rsid w:val="007A7C80"/>
    <w:rsid w:val="007B0A85"/>
    <w:rsid w:val="007B14E3"/>
    <w:rsid w:val="007B519E"/>
    <w:rsid w:val="007C1E09"/>
    <w:rsid w:val="007C3140"/>
    <w:rsid w:val="007C38FA"/>
    <w:rsid w:val="007C4BD2"/>
    <w:rsid w:val="007D67EF"/>
    <w:rsid w:val="007D7F68"/>
    <w:rsid w:val="007E00B1"/>
    <w:rsid w:val="007E05FC"/>
    <w:rsid w:val="007E103B"/>
    <w:rsid w:val="007E1109"/>
    <w:rsid w:val="007E1BC4"/>
    <w:rsid w:val="007E2BF9"/>
    <w:rsid w:val="007E3C26"/>
    <w:rsid w:val="007E6E46"/>
    <w:rsid w:val="007F0B0C"/>
    <w:rsid w:val="007F474F"/>
    <w:rsid w:val="007F5A5E"/>
    <w:rsid w:val="007F6DEF"/>
    <w:rsid w:val="008028E9"/>
    <w:rsid w:val="00803367"/>
    <w:rsid w:val="00804384"/>
    <w:rsid w:val="00807D7F"/>
    <w:rsid w:val="00812AAC"/>
    <w:rsid w:val="0081660D"/>
    <w:rsid w:val="00821D7A"/>
    <w:rsid w:val="00822D03"/>
    <w:rsid w:val="00825BAD"/>
    <w:rsid w:val="008271A4"/>
    <w:rsid w:val="008371DF"/>
    <w:rsid w:val="00841569"/>
    <w:rsid w:val="0084158F"/>
    <w:rsid w:val="0084247D"/>
    <w:rsid w:val="008435BC"/>
    <w:rsid w:val="00843A23"/>
    <w:rsid w:val="00844B0D"/>
    <w:rsid w:val="00845259"/>
    <w:rsid w:val="00845ACA"/>
    <w:rsid w:val="0084633E"/>
    <w:rsid w:val="00847240"/>
    <w:rsid w:val="008515DF"/>
    <w:rsid w:val="00857D32"/>
    <w:rsid w:val="00860182"/>
    <w:rsid w:val="008605BC"/>
    <w:rsid w:val="00862F7C"/>
    <w:rsid w:val="00866948"/>
    <w:rsid w:val="008669D7"/>
    <w:rsid w:val="008673EE"/>
    <w:rsid w:val="00867471"/>
    <w:rsid w:val="00867694"/>
    <w:rsid w:val="00870B3E"/>
    <w:rsid w:val="008766CA"/>
    <w:rsid w:val="00876921"/>
    <w:rsid w:val="00876F25"/>
    <w:rsid w:val="00883BA5"/>
    <w:rsid w:val="00887679"/>
    <w:rsid w:val="0089086C"/>
    <w:rsid w:val="008918AB"/>
    <w:rsid w:val="008923B3"/>
    <w:rsid w:val="008928B2"/>
    <w:rsid w:val="0089309E"/>
    <w:rsid w:val="00894221"/>
    <w:rsid w:val="00895720"/>
    <w:rsid w:val="0089768D"/>
    <w:rsid w:val="00897BC4"/>
    <w:rsid w:val="008A0E54"/>
    <w:rsid w:val="008A2202"/>
    <w:rsid w:val="008A5886"/>
    <w:rsid w:val="008C0594"/>
    <w:rsid w:val="008C0FA1"/>
    <w:rsid w:val="008C10C5"/>
    <w:rsid w:val="008C12FA"/>
    <w:rsid w:val="008C1B1C"/>
    <w:rsid w:val="008C28E0"/>
    <w:rsid w:val="008C2962"/>
    <w:rsid w:val="008C2F77"/>
    <w:rsid w:val="008C3524"/>
    <w:rsid w:val="008C3D1E"/>
    <w:rsid w:val="008C41D7"/>
    <w:rsid w:val="008D2CD7"/>
    <w:rsid w:val="008D3324"/>
    <w:rsid w:val="008D35A8"/>
    <w:rsid w:val="008D4CE5"/>
    <w:rsid w:val="008D5640"/>
    <w:rsid w:val="008D6CF9"/>
    <w:rsid w:val="008D7AB5"/>
    <w:rsid w:val="008D7F83"/>
    <w:rsid w:val="008E1439"/>
    <w:rsid w:val="008E15F4"/>
    <w:rsid w:val="008E1E84"/>
    <w:rsid w:val="008E52AB"/>
    <w:rsid w:val="008E55BC"/>
    <w:rsid w:val="008E5FF2"/>
    <w:rsid w:val="008E6702"/>
    <w:rsid w:val="008F2CB5"/>
    <w:rsid w:val="008F3644"/>
    <w:rsid w:val="008F4156"/>
    <w:rsid w:val="008F4181"/>
    <w:rsid w:val="008F6F15"/>
    <w:rsid w:val="008F76CE"/>
    <w:rsid w:val="00903CC4"/>
    <w:rsid w:val="0091649A"/>
    <w:rsid w:val="00926485"/>
    <w:rsid w:val="00927217"/>
    <w:rsid w:val="009302E9"/>
    <w:rsid w:val="009305C9"/>
    <w:rsid w:val="009349D0"/>
    <w:rsid w:val="00935C37"/>
    <w:rsid w:val="00935FCB"/>
    <w:rsid w:val="00936541"/>
    <w:rsid w:val="009371B0"/>
    <w:rsid w:val="009378B6"/>
    <w:rsid w:val="0094449E"/>
    <w:rsid w:val="00952884"/>
    <w:rsid w:val="0095291A"/>
    <w:rsid w:val="00954C11"/>
    <w:rsid w:val="00961F20"/>
    <w:rsid w:val="00963193"/>
    <w:rsid w:val="00964546"/>
    <w:rsid w:val="00965479"/>
    <w:rsid w:val="00966B0D"/>
    <w:rsid w:val="00967368"/>
    <w:rsid w:val="00970A81"/>
    <w:rsid w:val="00971263"/>
    <w:rsid w:val="00974932"/>
    <w:rsid w:val="00976349"/>
    <w:rsid w:val="00976367"/>
    <w:rsid w:val="00976CBE"/>
    <w:rsid w:val="009771E8"/>
    <w:rsid w:val="00981DA5"/>
    <w:rsid w:val="0098578B"/>
    <w:rsid w:val="00986D47"/>
    <w:rsid w:val="00987E30"/>
    <w:rsid w:val="00987FD8"/>
    <w:rsid w:val="00990241"/>
    <w:rsid w:val="0099235B"/>
    <w:rsid w:val="00992FC7"/>
    <w:rsid w:val="00993464"/>
    <w:rsid w:val="00995411"/>
    <w:rsid w:val="009A0D54"/>
    <w:rsid w:val="009A0FDE"/>
    <w:rsid w:val="009A4943"/>
    <w:rsid w:val="009A677C"/>
    <w:rsid w:val="009B2FA8"/>
    <w:rsid w:val="009B41D7"/>
    <w:rsid w:val="009B51CF"/>
    <w:rsid w:val="009C20D3"/>
    <w:rsid w:val="009C6855"/>
    <w:rsid w:val="009D07E4"/>
    <w:rsid w:val="009D1D94"/>
    <w:rsid w:val="009D246B"/>
    <w:rsid w:val="009E6219"/>
    <w:rsid w:val="009F3E55"/>
    <w:rsid w:val="009F3FF5"/>
    <w:rsid w:val="009F67C1"/>
    <w:rsid w:val="009F712C"/>
    <w:rsid w:val="009F769A"/>
    <w:rsid w:val="00A01653"/>
    <w:rsid w:val="00A027EA"/>
    <w:rsid w:val="00A02F4D"/>
    <w:rsid w:val="00A10B39"/>
    <w:rsid w:val="00A133E3"/>
    <w:rsid w:val="00A1522B"/>
    <w:rsid w:val="00A16863"/>
    <w:rsid w:val="00A22DF2"/>
    <w:rsid w:val="00A232B7"/>
    <w:rsid w:val="00A25FD7"/>
    <w:rsid w:val="00A274E3"/>
    <w:rsid w:val="00A32B3A"/>
    <w:rsid w:val="00A33AF5"/>
    <w:rsid w:val="00A35069"/>
    <w:rsid w:val="00A35127"/>
    <w:rsid w:val="00A42656"/>
    <w:rsid w:val="00A433E6"/>
    <w:rsid w:val="00A51CF3"/>
    <w:rsid w:val="00A5419E"/>
    <w:rsid w:val="00A61484"/>
    <w:rsid w:val="00A61C2A"/>
    <w:rsid w:val="00A65219"/>
    <w:rsid w:val="00A70E93"/>
    <w:rsid w:val="00A73280"/>
    <w:rsid w:val="00A742D2"/>
    <w:rsid w:val="00A74620"/>
    <w:rsid w:val="00A80B0D"/>
    <w:rsid w:val="00A83489"/>
    <w:rsid w:val="00A8478A"/>
    <w:rsid w:val="00A84AAC"/>
    <w:rsid w:val="00A863D0"/>
    <w:rsid w:val="00A910E3"/>
    <w:rsid w:val="00A91763"/>
    <w:rsid w:val="00A93334"/>
    <w:rsid w:val="00A93B44"/>
    <w:rsid w:val="00AA12A7"/>
    <w:rsid w:val="00AA2C9C"/>
    <w:rsid w:val="00AA70E2"/>
    <w:rsid w:val="00AB0D98"/>
    <w:rsid w:val="00AB4207"/>
    <w:rsid w:val="00AB44C5"/>
    <w:rsid w:val="00AB4566"/>
    <w:rsid w:val="00AB6012"/>
    <w:rsid w:val="00AC2BEB"/>
    <w:rsid w:val="00AC3A9C"/>
    <w:rsid w:val="00AC6A89"/>
    <w:rsid w:val="00AC6C33"/>
    <w:rsid w:val="00AD0296"/>
    <w:rsid w:val="00AD48FC"/>
    <w:rsid w:val="00AD5935"/>
    <w:rsid w:val="00AE3018"/>
    <w:rsid w:val="00AE311A"/>
    <w:rsid w:val="00AE49C8"/>
    <w:rsid w:val="00AE62F0"/>
    <w:rsid w:val="00AE6F62"/>
    <w:rsid w:val="00AE7014"/>
    <w:rsid w:val="00AF1659"/>
    <w:rsid w:val="00AF21A2"/>
    <w:rsid w:val="00AF3682"/>
    <w:rsid w:val="00AF6155"/>
    <w:rsid w:val="00B01390"/>
    <w:rsid w:val="00B03D97"/>
    <w:rsid w:val="00B04015"/>
    <w:rsid w:val="00B06166"/>
    <w:rsid w:val="00B13574"/>
    <w:rsid w:val="00B17DF8"/>
    <w:rsid w:val="00B20185"/>
    <w:rsid w:val="00B24CAD"/>
    <w:rsid w:val="00B25047"/>
    <w:rsid w:val="00B25BF0"/>
    <w:rsid w:val="00B268C4"/>
    <w:rsid w:val="00B27594"/>
    <w:rsid w:val="00B30341"/>
    <w:rsid w:val="00B345B1"/>
    <w:rsid w:val="00B35959"/>
    <w:rsid w:val="00B369F8"/>
    <w:rsid w:val="00B36CB3"/>
    <w:rsid w:val="00B37962"/>
    <w:rsid w:val="00B41200"/>
    <w:rsid w:val="00B4179F"/>
    <w:rsid w:val="00B41AB9"/>
    <w:rsid w:val="00B44231"/>
    <w:rsid w:val="00B4627D"/>
    <w:rsid w:val="00B53BF7"/>
    <w:rsid w:val="00B5798D"/>
    <w:rsid w:val="00B62789"/>
    <w:rsid w:val="00B64E91"/>
    <w:rsid w:val="00B65916"/>
    <w:rsid w:val="00B717D7"/>
    <w:rsid w:val="00B724DB"/>
    <w:rsid w:val="00B75CE3"/>
    <w:rsid w:val="00B8253F"/>
    <w:rsid w:val="00B82642"/>
    <w:rsid w:val="00B82F91"/>
    <w:rsid w:val="00B83DAF"/>
    <w:rsid w:val="00B869A3"/>
    <w:rsid w:val="00B87023"/>
    <w:rsid w:val="00B8767E"/>
    <w:rsid w:val="00B8795F"/>
    <w:rsid w:val="00B90928"/>
    <w:rsid w:val="00B92A17"/>
    <w:rsid w:val="00B972D8"/>
    <w:rsid w:val="00BA1AA2"/>
    <w:rsid w:val="00BA6572"/>
    <w:rsid w:val="00BA7C8B"/>
    <w:rsid w:val="00BB0C3B"/>
    <w:rsid w:val="00BB11FB"/>
    <w:rsid w:val="00BB1C57"/>
    <w:rsid w:val="00BB4BFB"/>
    <w:rsid w:val="00BB73BE"/>
    <w:rsid w:val="00BC1019"/>
    <w:rsid w:val="00BC26A2"/>
    <w:rsid w:val="00BC4572"/>
    <w:rsid w:val="00BC4BEB"/>
    <w:rsid w:val="00BC6F51"/>
    <w:rsid w:val="00BC7CFB"/>
    <w:rsid w:val="00BD0483"/>
    <w:rsid w:val="00BD227C"/>
    <w:rsid w:val="00BD235C"/>
    <w:rsid w:val="00BD4CFF"/>
    <w:rsid w:val="00BD4F52"/>
    <w:rsid w:val="00BD5A0D"/>
    <w:rsid w:val="00BD683C"/>
    <w:rsid w:val="00BD78DD"/>
    <w:rsid w:val="00BD7DCF"/>
    <w:rsid w:val="00BE030E"/>
    <w:rsid w:val="00BE0FE2"/>
    <w:rsid w:val="00BE1206"/>
    <w:rsid w:val="00BE2D50"/>
    <w:rsid w:val="00BE49DD"/>
    <w:rsid w:val="00BE54E8"/>
    <w:rsid w:val="00BE5AA5"/>
    <w:rsid w:val="00BE74D6"/>
    <w:rsid w:val="00BF0914"/>
    <w:rsid w:val="00BF19C6"/>
    <w:rsid w:val="00BF7580"/>
    <w:rsid w:val="00BF7D2E"/>
    <w:rsid w:val="00C05917"/>
    <w:rsid w:val="00C12532"/>
    <w:rsid w:val="00C15228"/>
    <w:rsid w:val="00C16716"/>
    <w:rsid w:val="00C169E6"/>
    <w:rsid w:val="00C1739E"/>
    <w:rsid w:val="00C17F6F"/>
    <w:rsid w:val="00C24BA3"/>
    <w:rsid w:val="00C26008"/>
    <w:rsid w:val="00C27875"/>
    <w:rsid w:val="00C31D09"/>
    <w:rsid w:val="00C3220A"/>
    <w:rsid w:val="00C3311F"/>
    <w:rsid w:val="00C33B42"/>
    <w:rsid w:val="00C34140"/>
    <w:rsid w:val="00C343A3"/>
    <w:rsid w:val="00C351B8"/>
    <w:rsid w:val="00C357E4"/>
    <w:rsid w:val="00C37B85"/>
    <w:rsid w:val="00C40746"/>
    <w:rsid w:val="00C41A4A"/>
    <w:rsid w:val="00C444F2"/>
    <w:rsid w:val="00C446FF"/>
    <w:rsid w:val="00C46EE9"/>
    <w:rsid w:val="00C522EF"/>
    <w:rsid w:val="00C530BC"/>
    <w:rsid w:val="00C54B1D"/>
    <w:rsid w:val="00C5551E"/>
    <w:rsid w:val="00C55CA2"/>
    <w:rsid w:val="00C55D29"/>
    <w:rsid w:val="00C56242"/>
    <w:rsid w:val="00C56DDE"/>
    <w:rsid w:val="00C575F7"/>
    <w:rsid w:val="00C67919"/>
    <w:rsid w:val="00C71853"/>
    <w:rsid w:val="00C73005"/>
    <w:rsid w:val="00C76AD1"/>
    <w:rsid w:val="00C80293"/>
    <w:rsid w:val="00C803A0"/>
    <w:rsid w:val="00C81510"/>
    <w:rsid w:val="00C834F6"/>
    <w:rsid w:val="00C8593E"/>
    <w:rsid w:val="00C85E81"/>
    <w:rsid w:val="00C86285"/>
    <w:rsid w:val="00C87E06"/>
    <w:rsid w:val="00C937DC"/>
    <w:rsid w:val="00C97667"/>
    <w:rsid w:val="00C976C0"/>
    <w:rsid w:val="00CB0DAE"/>
    <w:rsid w:val="00CB2F51"/>
    <w:rsid w:val="00CC18C4"/>
    <w:rsid w:val="00CC26E0"/>
    <w:rsid w:val="00CC297C"/>
    <w:rsid w:val="00CC3D57"/>
    <w:rsid w:val="00CC482B"/>
    <w:rsid w:val="00CC6956"/>
    <w:rsid w:val="00CC757A"/>
    <w:rsid w:val="00CC79DF"/>
    <w:rsid w:val="00CD09AC"/>
    <w:rsid w:val="00CD0B1D"/>
    <w:rsid w:val="00CD115B"/>
    <w:rsid w:val="00CD2FF3"/>
    <w:rsid w:val="00CD3B09"/>
    <w:rsid w:val="00CD56DD"/>
    <w:rsid w:val="00CD68B1"/>
    <w:rsid w:val="00CD7BF2"/>
    <w:rsid w:val="00CE311E"/>
    <w:rsid w:val="00CE587A"/>
    <w:rsid w:val="00CF6946"/>
    <w:rsid w:val="00CF7251"/>
    <w:rsid w:val="00D03723"/>
    <w:rsid w:val="00D049E1"/>
    <w:rsid w:val="00D04BCA"/>
    <w:rsid w:val="00D067E9"/>
    <w:rsid w:val="00D1020E"/>
    <w:rsid w:val="00D1070C"/>
    <w:rsid w:val="00D11F0A"/>
    <w:rsid w:val="00D12C56"/>
    <w:rsid w:val="00D13149"/>
    <w:rsid w:val="00D158C6"/>
    <w:rsid w:val="00D159E8"/>
    <w:rsid w:val="00D17CCD"/>
    <w:rsid w:val="00D17D28"/>
    <w:rsid w:val="00D22AE0"/>
    <w:rsid w:val="00D2451E"/>
    <w:rsid w:val="00D26078"/>
    <w:rsid w:val="00D26783"/>
    <w:rsid w:val="00D30AA4"/>
    <w:rsid w:val="00D31D7B"/>
    <w:rsid w:val="00D35EED"/>
    <w:rsid w:val="00D3738E"/>
    <w:rsid w:val="00D4006A"/>
    <w:rsid w:val="00D40DD6"/>
    <w:rsid w:val="00D4281F"/>
    <w:rsid w:val="00D44045"/>
    <w:rsid w:val="00D50019"/>
    <w:rsid w:val="00D53CF1"/>
    <w:rsid w:val="00D56FA3"/>
    <w:rsid w:val="00D57B78"/>
    <w:rsid w:val="00D60132"/>
    <w:rsid w:val="00D6091C"/>
    <w:rsid w:val="00D62567"/>
    <w:rsid w:val="00D632F8"/>
    <w:rsid w:val="00D64583"/>
    <w:rsid w:val="00D64FF7"/>
    <w:rsid w:val="00D66F81"/>
    <w:rsid w:val="00D71950"/>
    <w:rsid w:val="00D74912"/>
    <w:rsid w:val="00D74E08"/>
    <w:rsid w:val="00D7668F"/>
    <w:rsid w:val="00D8271A"/>
    <w:rsid w:val="00D9032E"/>
    <w:rsid w:val="00D92162"/>
    <w:rsid w:val="00D92688"/>
    <w:rsid w:val="00D9373F"/>
    <w:rsid w:val="00D93A5B"/>
    <w:rsid w:val="00D94940"/>
    <w:rsid w:val="00D957D7"/>
    <w:rsid w:val="00D973FF"/>
    <w:rsid w:val="00DA055D"/>
    <w:rsid w:val="00DA1A12"/>
    <w:rsid w:val="00DA3D50"/>
    <w:rsid w:val="00DA641D"/>
    <w:rsid w:val="00DA683C"/>
    <w:rsid w:val="00DA6914"/>
    <w:rsid w:val="00DB08C1"/>
    <w:rsid w:val="00DB2E75"/>
    <w:rsid w:val="00DC0263"/>
    <w:rsid w:val="00DC2A37"/>
    <w:rsid w:val="00DC4A23"/>
    <w:rsid w:val="00DC6AAC"/>
    <w:rsid w:val="00DD2CE4"/>
    <w:rsid w:val="00DD2E4E"/>
    <w:rsid w:val="00DE16F8"/>
    <w:rsid w:val="00DE6236"/>
    <w:rsid w:val="00DF3129"/>
    <w:rsid w:val="00DF4961"/>
    <w:rsid w:val="00E01708"/>
    <w:rsid w:val="00E029E0"/>
    <w:rsid w:val="00E037DD"/>
    <w:rsid w:val="00E064CE"/>
    <w:rsid w:val="00E07A4D"/>
    <w:rsid w:val="00E105CC"/>
    <w:rsid w:val="00E10CFA"/>
    <w:rsid w:val="00E1179B"/>
    <w:rsid w:val="00E1433F"/>
    <w:rsid w:val="00E1513C"/>
    <w:rsid w:val="00E169BB"/>
    <w:rsid w:val="00E17D4B"/>
    <w:rsid w:val="00E21FB8"/>
    <w:rsid w:val="00E22099"/>
    <w:rsid w:val="00E25615"/>
    <w:rsid w:val="00E25A1B"/>
    <w:rsid w:val="00E25E5E"/>
    <w:rsid w:val="00E261CF"/>
    <w:rsid w:val="00E27540"/>
    <w:rsid w:val="00E30BC1"/>
    <w:rsid w:val="00E31311"/>
    <w:rsid w:val="00E31CBB"/>
    <w:rsid w:val="00E341B2"/>
    <w:rsid w:val="00E36143"/>
    <w:rsid w:val="00E36C22"/>
    <w:rsid w:val="00E37511"/>
    <w:rsid w:val="00E37ED6"/>
    <w:rsid w:val="00E41D92"/>
    <w:rsid w:val="00E424D1"/>
    <w:rsid w:val="00E4260D"/>
    <w:rsid w:val="00E42D70"/>
    <w:rsid w:val="00E438C5"/>
    <w:rsid w:val="00E45DD8"/>
    <w:rsid w:val="00E47F23"/>
    <w:rsid w:val="00E51B29"/>
    <w:rsid w:val="00E522FC"/>
    <w:rsid w:val="00E53082"/>
    <w:rsid w:val="00E53599"/>
    <w:rsid w:val="00E53C67"/>
    <w:rsid w:val="00E6167C"/>
    <w:rsid w:val="00E61B3D"/>
    <w:rsid w:val="00E6434C"/>
    <w:rsid w:val="00E656FF"/>
    <w:rsid w:val="00E722F2"/>
    <w:rsid w:val="00E74C95"/>
    <w:rsid w:val="00E77AF7"/>
    <w:rsid w:val="00E834F3"/>
    <w:rsid w:val="00E9159B"/>
    <w:rsid w:val="00E9269D"/>
    <w:rsid w:val="00E965BC"/>
    <w:rsid w:val="00EA5438"/>
    <w:rsid w:val="00EA5513"/>
    <w:rsid w:val="00EA591A"/>
    <w:rsid w:val="00EB0CB4"/>
    <w:rsid w:val="00EB1482"/>
    <w:rsid w:val="00EB2EE5"/>
    <w:rsid w:val="00EB321B"/>
    <w:rsid w:val="00EB4E0B"/>
    <w:rsid w:val="00EB4E2C"/>
    <w:rsid w:val="00EB6382"/>
    <w:rsid w:val="00EB6736"/>
    <w:rsid w:val="00EB6AB7"/>
    <w:rsid w:val="00EC40E9"/>
    <w:rsid w:val="00EC6337"/>
    <w:rsid w:val="00EC710E"/>
    <w:rsid w:val="00EC7F24"/>
    <w:rsid w:val="00ED158B"/>
    <w:rsid w:val="00ED704F"/>
    <w:rsid w:val="00EE1E1E"/>
    <w:rsid w:val="00EE53F9"/>
    <w:rsid w:val="00EE5515"/>
    <w:rsid w:val="00EE5EF4"/>
    <w:rsid w:val="00EF2EEC"/>
    <w:rsid w:val="00EF51B2"/>
    <w:rsid w:val="00EF611E"/>
    <w:rsid w:val="00F00B31"/>
    <w:rsid w:val="00F01D6A"/>
    <w:rsid w:val="00F0325A"/>
    <w:rsid w:val="00F03945"/>
    <w:rsid w:val="00F056C1"/>
    <w:rsid w:val="00F07774"/>
    <w:rsid w:val="00F1048D"/>
    <w:rsid w:val="00F135DB"/>
    <w:rsid w:val="00F13E52"/>
    <w:rsid w:val="00F1461C"/>
    <w:rsid w:val="00F16A3C"/>
    <w:rsid w:val="00F1764F"/>
    <w:rsid w:val="00F26DF8"/>
    <w:rsid w:val="00F30E73"/>
    <w:rsid w:val="00F36E6D"/>
    <w:rsid w:val="00F406B9"/>
    <w:rsid w:val="00F414FD"/>
    <w:rsid w:val="00F43C95"/>
    <w:rsid w:val="00F43E3D"/>
    <w:rsid w:val="00F44B82"/>
    <w:rsid w:val="00F45BED"/>
    <w:rsid w:val="00F464E8"/>
    <w:rsid w:val="00F479DE"/>
    <w:rsid w:val="00F503AC"/>
    <w:rsid w:val="00F538EC"/>
    <w:rsid w:val="00F53968"/>
    <w:rsid w:val="00F541A5"/>
    <w:rsid w:val="00F575F7"/>
    <w:rsid w:val="00F6163B"/>
    <w:rsid w:val="00F64B91"/>
    <w:rsid w:val="00F6564B"/>
    <w:rsid w:val="00F65D04"/>
    <w:rsid w:val="00F71884"/>
    <w:rsid w:val="00F74114"/>
    <w:rsid w:val="00F74A86"/>
    <w:rsid w:val="00F74A8F"/>
    <w:rsid w:val="00F77826"/>
    <w:rsid w:val="00F80008"/>
    <w:rsid w:val="00F8097E"/>
    <w:rsid w:val="00F81BDA"/>
    <w:rsid w:val="00F82A4A"/>
    <w:rsid w:val="00F838C7"/>
    <w:rsid w:val="00F839B2"/>
    <w:rsid w:val="00F844FC"/>
    <w:rsid w:val="00F8759B"/>
    <w:rsid w:val="00F90D70"/>
    <w:rsid w:val="00F9167E"/>
    <w:rsid w:val="00F92982"/>
    <w:rsid w:val="00F94A3D"/>
    <w:rsid w:val="00FA05B3"/>
    <w:rsid w:val="00FA34CD"/>
    <w:rsid w:val="00FA378C"/>
    <w:rsid w:val="00FA5A31"/>
    <w:rsid w:val="00FA689D"/>
    <w:rsid w:val="00FB262A"/>
    <w:rsid w:val="00FB2FA8"/>
    <w:rsid w:val="00FB3B28"/>
    <w:rsid w:val="00FB40D1"/>
    <w:rsid w:val="00FB6473"/>
    <w:rsid w:val="00FC155D"/>
    <w:rsid w:val="00FC4943"/>
    <w:rsid w:val="00FC5CA2"/>
    <w:rsid w:val="00FC6367"/>
    <w:rsid w:val="00FC743C"/>
    <w:rsid w:val="00FC794D"/>
    <w:rsid w:val="00FD43FC"/>
    <w:rsid w:val="00FD50A6"/>
    <w:rsid w:val="00FD61F1"/>
    <w:rsid w:val="00FD68E1"/>
    <w:rsid w:val="00FE0A81"/>
    <w:rsid w:val="00FE220F"/>
    <w:rsid w:val="00FE23F8"/>
    <w:rsid w:val="00FE26A0"/>
    <w:rsid w:val="00FE4977"/>
    <w:rsid w:val="00FE7914"/>
    <w:rsid w:val="00FF0E20"/>
    <w:rsid w:val="00FF13A4"/>
    <w:rsid w:val="00FF16F8"/>
    <w:rsid w:val="00FF7F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4266C"/>
  <w15:chartTrackingRefBased/>
  <w15:docId w15:val="{BDF412DF-C1D1-4421-BD10-19540CF71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before="1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6B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uiPriority w:val="99"/>
    <w:rsid w:val="006F6B73"/>
  </w:style>
  <w:style w:type="paragraph" w:styleId="Index1">
    <w:name w:val="index 1"/>
    <w:basedOn w:val="Normal"/>
    <w:next w:val="Normal"/>
    <w:uiPriority w:val="99"/>
    <w:rsid w:val="006F6B73"/>
    <w:pPr>
      <w:tabs>
        <w:tab w:val="right" w:leader="dot" w:pos="9360"/>
      </w:tabs>
      <w:suppressAutoHyphens/>
      <w:spacing w:line="240" w:lineRule="atLeast"/>
      <w:ind w:left="720" w:hanging="720"/>
    </w:pPr>
    <w:rPr>
      <w:rFonts w:eastAsia="Times New Roman"/>
    </w:rPr>
  </w:style>
  <w:style w:type="paragraph" w:styleId="Index2">
    <w:name w:val="index 2"/>
    <w:basedOn w:val="Normal"/>
    <w:next w:val="Normal"/>
    <w:uiPriority w:val="99"/>
    <w:rsid w:val="006F6B73"/>
    <w:pPr>
      <w:tabs>
        <w:tab w:val="right" w:leader="dot" w:pos="9360"/>
      </w:tabs>
      <w:suppressAutoHyphens/>
      <w:spacing w:line="240" w:lineRule="atLeast"/>
      <w:ind w:left="720"/>
    </w:pPr>
    <w:rPr>
      <w:rFonts w:eastAsia="Times New Roman"/>
    </w:rPr>
  </w:style>
  <w:style w:type="paragraph" w:styleId="TOC1">
    <w:name w:val="toc 1"/>
    <w:basedOn w:val="Normal"/>
    <w:next w:val="Normal"/>
    <w:uiPriority w:val="99"/>
    <w:rsid w:val="006F6B73"/>
    <w:pPr>
      <w:tabs>
        <w:tab w:val="right" w:leader="dot" w:pos="9360"/>
      </w:tabs>
      <w:suppressAutoHyphens/>
      <w:spacing w:before="480" w:line="240" w:lineRule="atLeast"/>
      <w:ind w:left="720" w:right="720" w:hanging="720"/>
    </w:pPr>
    <w:rPr>
      <w:rFonts w:eastAsia="Times New Roman"/>
    </w:rPr>
  </w:style>
  <w:style w:type="paragraph" w:styleId="TOC2">
    <w:name w:val="toc 2"/>
    <w:basedOn w:val="Normal"/>
    <w:next w:val="Normal"/>
    <w:uiPriority w:val="99"/>
    <w:rsid w:val="006F6B73"/>
    <w:pPr>
      <w:tabs>
        <w:tab w:val="right" w:leader="dot" w:pos="9360"/>
      </w:tabs>
      <w:suppressAutoHyphens/>
      <w:spacing w:line="240" w:lineRule="atLeast"/>
      <w:ind w:left="720" w:right="720"/>
    </w:pPr>
    <w:rPr>
      <w:rFonts w:eastAsia="Times New Roman"/>
    </w:rPr>
  </w:style>
  <w:style w:type="paragraph" w:styleId="TOC3">
    <w:name w:val="toc 3"/>
    <w:basedOn w:val="Normal"/>
    <w:next w:val="Normal"/>
    <w:uiPriority w:val="99"/>
    <w:rsid w:val="006F6B73"/>
    <w:pPr>
      <w:tabs>
        <w:tab w:val="right" w:leader="dot" w:pos="9360"/>
      </w:tabs>
      <w:suppressAutoHyphens/>
      <w:spacing w:line="240" w:lineRule="atLeast"/>
      <w:ind w:left="720" w:right="720"/>
    </w:pPr>
    <w:rPr>
      <w:rFonts w:eastAsia="Times New Roman"/>
    </w:rPr>
  </w:style>
  <w:style w:type="paragraph" w:styleId="TOC4">
    <w:name w:val="toc 4"/>
    <w:basedOn w:val="Normal"/>
    <w:next w:val="Normal"/>
    <w:uiPriority w:val="99"/>
    <w:rsid w:val="006F6B73"/>
    <w:pPr>
      <w:tabs>
        <w:tab w:val="right" w:leader="dot" w:pos="9360"/>
      </w:tabs>
      <w:suppressAutoHyphens/>
      <w:spacing w:line="240" w:lineRule="atLeast"/>
      <w:ind w:left="720" w:right="720"/>
    </w:pPr>
    <w:rPr>
      <w:rFonts w:eastAsia="Times New Roman"/>
    </w:rPr>
  </w:style>
  <w:style w:type="paragraph" w:styleId="TOC5">
    <w:name w:val="toc 5"/>
    <w:basedOn w:val="Normal"/>
    <w:next w:val="Normal"/>
    <w:uiPriority w:val="99"/>
    <w:rsid w:val="006F6B73"/>
    <w:pPr>
      <w:tabs>
        <w:tab w:val="right" w:leader="dot" w:pos="9360"/>
      </w:tabs>
      <w:suppressAutoHyphens/>
      <w:spacing w:line="240" w:lineRule="atLeast"/>
      <w:ind w:left="720" w:right="720"/>
    </w:pPr>
    <w:rPr>
      <w:rFonts w:eastAsia="Times New Roman"/>
    </w:rPr>
  </w:style>
  <w:style w:type="paragraph" w:styleId="TOC6">
    <w:name w:val="toc 6"/>
    <w:basedOn w:val="Normal"/>
    <w:next w:val="Normal"/>
    <w:uiPriority w:val="99"/>
    <w:rsid w:val="006F6B73"/>
    <w:pPr>
      <w:tabs>
        <w:tab w:val="right" w:pos="9360"/>
      </w:tabs>
      <w:suppressAutoHyphens/>
      <w:spacing w:line="240" w:lineRule="atLeast"/>
      <w:ind w:left="720" w:hanging="720"/>
    </w:pPr>
    <w:rPr>
      <w:rFonts w:eastAsia="Times New Roman"/>
    </w:rPr>
  </w:style>
  <w:style w:type="paragraph" w:styleId="TOC7">
    <w:name w:val="toc 7"/>
    <w:basedOn w:val="Normal"/>
    <w:next w:val="Normal"/>
    <w:uiPriority w:val="99"/>
    <w:rsid w:val="006F6B73"/>
    <w:pPr>
      <w:suppressAutoHyphens/>
      <w:spacing w:line="240" w:lineRule="atLeast"/>
      <w:ind w:left="720" w:hanging="720"/>
    </w:pPr>
    <w:rPr>
      <w:rFonts w:eastAsia="Times New Roman"/>
    </w:rPr>
  </w:style>
  <w:style w:type="paragraph" w:styleId="TOC8">
    <w:name w:val="toc 8"/>
    <w:basedOn w:val="Normal"/>
    <w:next w:val="Normal"/>
    <w:uiPriority w:val="99"/>
    <w:rsid w:val="006F6B73"/>
    <w:pPr>
      <w:tabs>
        <w:tab w:val="right" w:pos="9360"/>
      </w:tabs>
      <w:suppressAutoHyphens/>
      <w:spacing w:line="240" w:lineRule="atLeast"/>
      <w:ind w:left="720" w:hanging="720"/>
    </w:pPr>
    <w:rPr>
      <w:rFonts w:eastAsia="Times New Roman"/>
    </w:rPr>
  </w:style>
  <w:style w:type="paragraph" w:styleId="TOC9">
    <w:name w:val="toc 9"/>
    <w:basedOn w:val="Normal"/>
    <w:next w:val="Normal"/>
    <w:uiPriority w:val="99"/>
    <w:rsid w:val="006F6B73"/>
    <w:pPr>
      <w:tabs>
        <w:tab w:val="right" w:leader="dot" w:pos="9360"/>
      </w:tabs>
      <w:suppressAutoHyphens/>
      <w:spacing w:line="240" w:lineRule="atLeast"/>
      <w:ind w:left="720" w:hanging="720"/>
    </w:pPr>
    <w:rPr>
      <w:rFonts w:eastAsia="Times New Roman"/>
    </w:rPr>
  </w:style>
  <w:style w:type="paragraph" w:styleId="FootnoteText">
    <w:name w:val="footnote text"/>
    <w:basedOn w:val="Normal"/>
    <w:link w:val="FootnoteTextChar"/>
    <w:uiPriority w:val="99"/>
    <w:rsid w:val="006F6B73"/>
    <w:rPr>
      <w:rFonts w:eastAsia="Times New Roman"/>
    </w:rPr>
  </w:style>
  <w:style w:type="character" w:customStyle="1" w:styleId="FootnoteTextChar">
    <w:name w:val="Footnote Text Char"/>
    <w:link w:val="FootnoteText"/>
    <w:uiPriority w:val="99"/>
    <w:rsid w:val="006F6B73"/>
    <w:rPr>
      <w:rFonts w:ascii="Courier New" w:eastAsia="Times New Roman" w:hAnsi="Courier New" w:cs="Courier New"/>
      <w:sz w:val="24"/>
      <w:szCs w:val="24"/>
    </w:rPr>
  </w:style>
  <w:style w:type="paragraph" w:styleId="Header">
    <w:name w:val="header"/>
    <w:basedOn w:val="Normal"/>
    <w:link w:val="HeaderChar"/>
    <w:uiPriority w:val="99"/>
    <w:unhideWhenUsed/>
    <w:rsid w:val="006F6B73"/>
    <w:pPr>
      <w:tabs>
        <w:tab w:val="center" w:pos="4680"/>
        <w:tab w:val="right" w:pos="9360"/>
      </w:tabs>
    </w:pPr>
    <w:rPr>
      <w:rFonts w:eastAsia="Times New Roman"/>
    </w:rPr>
  </w:style>
  <w:style w:type="character" w:customStyle="1" w:styleId="HeaderChar">
    <w:name w:val="Header Char"/>
    <w:link w:val="Header"/>
    <w:uiPriority w:val="99"/>
    <w:rsid w:val="006F6B73"/>
    <w:rPr>
      <w:rFonts w:ascii="Courier New" w:eastAsia="Times New Roman" w:hAnsi="Courier New" w:cs="Courier New"/>
      <w:sz w:val="20"/>
      <w:szCs w:val="20"/>
    </w:rPr>
  </w:style>
  <w:style w:type="paragraph" w:styleId="Footer">
    <w:name w:val="footer"/>
    <w:basedOn w:val="Normal"/>
    <w:link w:val="FooterChar"/>
    <w:uiPriority w:val="99"/>
    <w:unhideWhenUsed/>
    <w:rsid w:val="006F6B73"/>
    <w:pPr>
      <w:tabs>
        <w:tab w:val="center" w:pos="4680"/>
        <w:tab w:val="right" w:pos="9360"/>
      </w:tabs>
    </w:pPr>
    <w:rPr>
      <w:rFonts w:eastAsia="Times New Roman"/>
    </w:rPr>
  </w:style>
  <w:style w:type="character" w:customStyle="1" w:styleId="FooterChar">
    <w:name w:val="Footer Char"/>
    <w:link w:val="Footer"/>
    <w:uiPriority w:val="99"/>
    <w:rsid w:val="006F6B73"/>
    <w:rPr>
      <w:rFonts w:ascii="Courier New" w:eastAsia="Times New Roman" w:hAnsi="Courier New" w:cs="Courier New"/>
      <w:sz w:val="20"/>
      <w:szCs w:val="20"/>
    </w:rPr>
  </w:style>
  <w:style w:type="paragraph" w:styleId="Caption">
    <w:name w:val="caption"/>
    <w:basedOn w:val="Normal"/>
    <w:next w:val="Normal"/>
    <w:uiPriority w:val="99"/>
    <w:qFormat/>
    <w:rsid w:val="006F6B73"/>
    <w:rPr>
      <w:rFonts w:eastAsia="Times New Roman"/>
    </w:rPr>
  </w:style>
  <w:style w:type="character" w:styleId="FootnoteReference">
    <w:name w:val="footnote reference"/>
    <w:uiPriority w:val="99"/>
    <w:rsid w:val="006F6B73"/>
    <w:rPr>
      <w:vertAlign w:val="superscript"/>
    </w:rPr>
  </w:style>
  <w:style w:type="character" w:styleId="EndnoteReference">
    <w:name w:val="endnote reference"/>
    <w:uiPriority w:val="99"/>
    <w:rsid w:val="006F6B73"/>
    <w:rPr>
      <w:vertAlign w:val="superscript"/>
    </w:rPr>
  </w:style>
  <w:style w:type="paragraph" w:styleId="EndnoteText">
    <w:name w:val="endnote text"/>
    <w:basedOn w:val="Normal"/>
    <w:link w:val="EndnoteTextChar"/>
    <w:uiPriority w:val="99"/>
    <w:rsid w:val="006F6B73"/>
    <w:rPr>
      <w:rFonts w:eastAsia="Times New Roman"/>
    </w:rPr>
  </w:style>
  <w:style w:type="character" w:customStyle="1" w:styleId="EndnoteTextChar">
    <w:name w:val="Endnote Text Char"/>
    <w:link w:val="EndnoteText"/>
    <w:uiPriority w:val="99"/>
    <w:rsid w:val="006F6B73"/>
    <w:rPr>
      <w:rFonts w:ascii="Courier New" w:eastAsia="Times New Roman" w:hAnsi="Courier New" w:cs="Courier New"/>
      <w:sz w:val="24"/>
      <w:szCs w:val="24"/>
    </w:rPr>
  </w:style>
  <w:style w:type="paragraph" w:styleId="TOAHeading">
    <w:name w:val="toa heading"/>
    <w:basedOn w:val="Normal"/>
    <w:next w:val="Normal"/>
    <w:uiPriority w:val="99"/>
    <w:rsid w:val="006F6B73"/>
    <w:pPr>
      <w:tabs>
        <w:tab w:val="right" w:pos="9360"/>
      </w:tabs>
      <w:suppressAutoHyphens/>
      <w:spacing w:line="240" w:lineRule="atLeast"/>
    </w:pPr>
    <w:rPr>
      <w:rFonts w:eastAsia="Times New Roman"/>
    </w:rPr>
  </w:style>
  <w:style w:type="character" w:styleId="Hyperlink">
    <w:name w:val="Hyperlink"/>
    <w:basedOn w:val="DefaultParagraphFont"/>
    <w:uiPriority w:val="99"/>
    <w:unhideWhenUsed/>
    <w:rsid w:val="0075767E"/>
    <w:rPr>
      <w:color w:val="0563C1"/>
      <w:u w:val="single"/>
    </w:rPr>
  </w:style>
  <w:style w:type="paragraph" w:styleId="ListParagraph">
    <w:name w:val="List Paragraph"/>
    <w:basedOn w:val="Normal"/>
    <w:uiPriority w:val="34"/>
    <w:qFormat/>
    <w:rsid w:val="00540309"/>
    <w:pPr>
      <w:ind w:left="720"/>
      <w:contextualSpacing/>
    </w:pPr>
  </w:style>
  <w:style w:type="character" w:styleId="UnresolvedMention">
    <w:name w:val="Unresolved Mention"/>
    <w:basedOn w:val="DefaultParagraphFont"/>
    <w:uiPriority w:val="99"/>
    <w:semiHidden/>
    <w:unhideWhenUsed/>
    <w:rsid w:val="00822D03"/>
    <w:rPr>
      <w:color w:val="605E5C"/>
      <w:shd w:val="clear" w:color="auto" w:fill="E1DFDD"/>
    </w:rPr>
  </w:style>
  <w:style w:type="character" w:styleId="CommentReference">
    <w:name w:val="annotation reference"/>
    <w:basedOn w:val="DefaultParagraphFont"/>
    <w:uiPriority w:val="99"/>
    <w:semiHidden/>
    <w:unhideWhenUsed/>
    <w:rsid w:val="00094B57"/>
    <w:rPr>
      <w:sz w:val="16"/>
      <w:szCs w:val="16"/>
    </w:rPr>
  </w:style>
  <w:style w:type="paragraph" w:styleId="CommentText">
    <w:name w:val="annotation text"/>
    <w:basedOn w:val="Normal"/>
    <w:link w:val="CommentTextChar"/>
    <w:uiPriority w:val="99"/>
    <w:semiHidden/>
    <w:unhideWhenUsed/>
    <w:rsid w:val="00094B57"/>
    <w:rPr>
      <w:sz w:val="20"/>
      <w:szCs w:val="20"/>
    </w:rPr>
  </w:style>
  <w:style w:type="character" w:customStyle="1" w:styleId="CommentTextChar">
    <w:name w:val="Comment Text Char"/>
    <w:basedOn w:val="DefaultParagraphFont"/>
    <w:link w:val="CommentText"/>
    <w:uiPriority w:val="99"/>
    <w:semiHidden/>
    <w:rsid w:val="00094B57"/>
    <w:rPr>
      <w:sz w:val="20"/>
      <w:szCs w:val="20"/>
    </w:rPr>
  </w:style>
  <w:style w:type="paragraph" w:styleId="CommentSubject">
    <w:name w:val="annotation subject"/>
    <w:basedOn w:val="CommentText"/>
    <w:next w:val="CommentText"/>
    <w:link w:val="CommentSubjectChar"/>
    <w:uiPriority w:val="99"/>
    <w:semiHidden/>
    <w:unhideWhenUsed/>
    <w:rsid w:val="00094B57"/>
    <w:rPr>
      <w:b/>
      <w:bCs/>
    </w:rPr>
  </w:style>
  <w:style w:type="character" w:customStyle="1" w:styleId="CommentSubjectChar">
    <w:name w:val="Comment Subject Char"/>
    <w:basedOn w:val="CommentTextChar"/>
    <w:link w:val="CommentSubject"/>
    <w:uiPriority w:val="99"/>
    <w:semiHidden/>
    <w:rsid w:val="00094B5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841829">
      <w:bodyDiv w:val="1"/>
      <w:marLeft w:val="0"/>
      <w:marRight w:val="0"/>
      <w:marTop w:val="0"/>
      <w:marBottom w:val="0"/>
      <w:divBdr>
        <w:top w:val="none" w:sz="0" w:space="0" w:color="auto"/>
        <w:left w:val="none" w:sz="0" w:space="0" w:color="auto"/>
        <w:bottom w:val="none" w:sz="0" w:space="0" w:color="auto"/>
        <w:right w:val="none" w:sz="0" w:space="0" w:color="auto"/>
      </w:divBdr>
      <w:divsChild>
        <w:div w:id="1664162441">
          <w:marLeft w:val="0"/>
          <w:marRight w:val="0"/>
          <w:marTop w:val="0"/>
          <w:marBottom w:val="0"/>
          <w:divBdr>
            <w:top w:val="none" w:sz="0" w:space="0" w:color="auto"/>
            <w:left w:val="none" w:sz="0" w:space="0" w:color="auto"/>
            <w:bottom w:val="none" w:sz="0" w:space="0" w:color="auto"/>
            <w:right w:val="none" w:sz="0" w:space="0" w:color="auto"/>
          </w:divBdr>
          <w:divsChild>
            <w:div w:id="224490650">
              <w:marLeft w:val="0"/>
              <w:marRight w:val="0"/>
              <w:marTop w:val="0"/>
              <w:marBottom w:val="0"/>
              <w:divBdr>
                <w:top w:val="none" w:sz="0" w:space="0" w:color="auto"/>
                <w:left w:val="none" w:sz="0" w:space="0" w:color="auto"/>
                <w:bottom w:val="none" w:sz="0" w:space="0" w:color="auto"/>
                <w:right w:val="none" w:sz="0" w:space="0" w:color="auto"/>
              </w:divBdr>
              <w:divsChild>
                <w:div w:id="136544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112681">
      <w:bodyDiv w:val="1"/>
      <w:marLeft w:val="0"/>
      <w:marRight w:val="0"/>
      <w:marTop w:val="0"/>
      <w:marBottom w:val="0"/>
      <w:divBdr>
        <w:top w:val="none" w:sz="0" w:space="0" w:color="auto"/>
        <w:left w:val="none" w:sz="0" w:space="0" w:color="auto"/>
        <w:bottom w:val="none" w:sz="0" w:space="0" w:color="auto"/>
        <w:right w:val="none" w:sz="0" w:space="0" w:color="auto"/>
      </w:divBdr>
      <w:divsChild>
        <w:div w:id="1078357557">
          <w:marLeft w:val="0"/>
          <w:marRight w:val="0"/>
          <w:marTop w:val="0"/>
          <w:marBottom w:val="0"/>
          <w:divBdr>
            <w:top w:val="none" w:sz="0" w:space="0" w:color="auto"/>
            <w:left w:val="none" w:sz="0" w:space="0" w:color="auto"/>
            <w:bottom w:val="none" w:sz="0" w:space="0" w:color="auto"/>
            <w:right w:val="none" w:sz="0" w:space="0" w:color="auto"/>
          </w:divBdr>
          <w:divsChild>
            <w:div w:id="309404756">
              <w:marLeft w:val="0"/>
              <w:marRight w:val="0"/>
              <w:marTop w:val="0"/>
              <w:marBottom w:val="0"/>
              <w:divBdr>
                <w:top w:val="none" w:sz="0" w:space="0" w:color="auto"/>
                <w:left w:val="none" w:sz="0" w:space="0" w:color="auto"/>
                <w:bottom w:val="none" w:sz="0" w:space="0" w:color="auto"/>
                <w:right w:val="none" w:sz="0" w:space="0" w:color="auto"/>
              </w:divBdr>
              <w:divsChild>
                <w:div w:id="1558079563">
                  <w:marLeft w:val="0"/>
                  <w:marRight w:val="0"/>
                  <w:marTop w:val="0"/>
                  <w:marBottom w:val="0"/>
                  <w:divBdr>
                    <w:top w:val="none" w:sz="0" w:space="0" w:color="auto"/>
                    <w:left w:val="none" w:sz="0" w:space="0" w:color="auto"/>
                    <w:bottom w:val="none" w:sz="0" w:space="0" w:color="auto"/>
                    <w:right w:val="none" w:sz="0" w:space="0" w:color="auto"/>
                  </w:divBdr>
                  <w:divsChild>
                    <w:div w:id="166409319">
                      <w:marLeft w:val="0"/>
                      <w:marRight w:val="0"/>
                      <w:marTop w:val="0"/>
                      <w:marBottom w:val="0"/>
                      <w:divBdr>
                        <w:top w:val="none" w:sz="0" w:space="0" w:color="auto"/>
                        <w:left w:val="none" w:sz="0" w:space="0" w:color="auto"/>
                        <w:bottom w:val="none" w:sz="0" w:space="0" w:color="auto"/>
                        <w:right w:val="none" w:sz="0" w:space="0" w:color="auto"/>
                      </w:divBdr>
                    </w:div>
                  </w:divsChild>
                </w:div>
                <w:div w:id="976255819">
                  <w:marLeft w:val="0"/>
                  <w:marRight w:val="0"/>
                  <w:marTop w:val="0"/>
                  <w:marBottom w:val="0"/>
                  <w:divBdr>
                    <w:top w:val="none" w:sz="0" w:space="0" w:color="auto"/>
                    <w:left w:val="none" w:sz="0" w:space="0" w:color="auto"/>
                    <w:bottom w:val="none" w:sz="0" w:space="0" w:color="auto"/>
                    <w:right w:val="none" w:sz="0" w:space="0" w:color="auto"/>
                  </w:divBdr>
                  <w:divsChild>
                    <w:div w:id="1718821535">
                      <w:marLeft w:val="0"/>
                      <w:marRight w:val="0"/>
                      <w:marTop w:val="0"/>
                      <w:marBottom w:val="0"/>
                      <w:divBdr>
                        <w:top w:val="none" w:sz="0" w:space="0" w:color="auto"/>
                        <w:left w:val="none" w:sz="0" w:space="0" w:color="auto"/>
                        <w:bottom w:val="none" w:sz="0" w:space="0" w:color="auto"/>
                        <w:right w:val="none" w:sz="0" w:space="0" w:color="auto"/>
                      </w:divBdr>
                    </w:div>
                  </w:divsChild>
                </w:div>
                <w:div w:id="1607687075">
                  <w:marLeft w:val="0"/>
                  <w:marRight w:val="0"/>
                  <w:marTop w:val="0"/>
                  <w:marBottom w:val="0"/>
                  <w:divBdr>
                    <w:top w:val="none" w:sz="0" w:space="0" w:color="auto"/>
                    <w:left w:val="none" w:sz="0" w:space="0" w:color="auto"/>
                    <w:bottom w:val="none" w:sz="0" w:space="0" w:color="auto"/>
                    <w:right w:val="none" w:sz="0" w:space="0" w:color="auto"/>
                  </w:divBdr>
                  <w:divsChild>
                    <w:div w:id="1047802369">
                      <w:marLeft w:val="0"/>
                      <w:marRight w:val="0"/>
                      <w:marTop w:val="0"/>
                      <w:marBottom w:val="0"/>
                      <w:divBdr>
                        <w:top w:val="none" w:sz="0" w:space="0" w:color="auto"/>
                        <w:left w:val="none" w:sz="0" w:space="0" w:color="auto"/>
                        <w:bottom w:val="none" w:sz="0" w:space="0" w:color="auto"/>
                        <w:right w:val="none" w:sz="0" w:space="0" w:color="auto"/>
                      </w:divBdr>
                    </w:div>
                  </w:divsChild>
                </w:div>
                <w:div w:id="132612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0983943">
      <w:bodyDiv w:val="1"/>
      <w:marLeft w:val="0"/>
      <w:marRight w:val="0"/>
      <w:marTop w:val="0"/>
      <w:marBottom w:val="0"/>
      <w:divBdr>
        <w:top w:val="none" w:sz="0" w:space="0" w:color="auto"/>
        <w:left w:val="none" w:sz="0" w:space="0" w:color="auto"/>
        <w:bottom w:val="none" w:sz="0" w:space="0" w:color="auto"/>
        <w:right w:val="none" w:sz="0" w:space="0" w:color="auto"/>
      </w:divBdr>
    </w:div>
    <w:div w:id="468984044">
      <w:bodyDiv w:val="1"/>
      <w:marLeft w:val="0"/>
      <w:marRight w:val="0"/>
      <w:marTop w:val="0"/>
      <w:marBottom w:val="0"/>
      <w:divBdr>
        <w:top w:val="none" w:sz="0" w:space="0" w:color="auto"/>
        <w:left w:val="none" w:sz="0" w:space="0" w:color="auto"/>
        <w:bottom w:val="none" w:sz="0" w:space="0" w:color="auto"/>
        <w:right w:val="none" w:sz="0" w:space="0" w:color="auto"/>
      </w:divBdr>
      <w:divsChild>
        <w:div w:id="1304778212">
          <w:marLeft w:val="0"/>
          <w:marRight w:val="0"/>
          <w:marTop w:val="0"/>
          <w:marBottom w:val="0"/>
          <w:divBdr>
            <w:top w:val="none" w:sz="0" w:space="0" w:color="auto"/>
            <w:left w:val="none" w:sz="0" w:space="0" w:color="auto"/>
            <w:bottom w:val="none" w:sz="0" w:space="0" w:color="auto"/>
            <w:right w:val="none" w:sz="0" w:space="0" w:color="auto"/>
          </w:divBdr>
          <w:divsChild>
            <w:div w:id="19556294">
              <w:marLeft w:val="0"/>
              <w:marRight w:val="0"/>
              <w:marTop w:val="0"/>
              <w:marBottom w:val="0"/>
              <w:divBdr>
                <w:top w:val="none" w:sz="0" w:space="0" w:color="auto"/>
                <w:left w:val="none" w:sz="0" w:space="0" w:color="auto"/>
                <w:bottom w:val="none" w:sz="0" w:space="0" w:color="auto"/>
                <w:right w:val="none" w:sz="0" w:space="0" w:color="auto"/>
              </w:divBdr>
              <w:divsChild>
                <w:div w:id="77216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220163">
      <w:bodyDiv w:val="1"/>
      <w:marLeft w:val="0"/>
      <w:marRight w:val="0"/>
      <w:marTop w:val="0"/>
      <w:marBottom w:val="0"/>
      <w:divBdr>
        <w:top w:val="none" w:sz="0" w:space="0" w:color="auto"/>
        <w:left w:val="none" w:sz="0" w:space="0" w:color="auto"/>
        <w:bottom w:val="none" w:sz="0" w:space="0" w:color="auto"/>
        <w:right w:val="none" w:sz="0" w:space="0" w:color="auto"/>
      </w:divBdr>
    </w:div>
    <w:div w:id="604000792">
      <w:bodyDiv w:val="1"/>
      <w:marLeft w:val="0"/>
      <w:marRight w:val="0"/>
      <w:marTop w:val="0"/>
      <w:marBottom w:val="0"/>
      <w:divBdr>
        <w:top w:val="none" w:sz="0" w:space="0" w:color="auto"/>
        <w:left w:val="none" w:sz="0" w:space="0" w:color="auto"/>
        <w:bottom w:val="none" w:sz="0" w:space="0" w:color="auto"/>
        <w:right w:val="none" w:sz="0" w:space="0" w:color="auto"/>
      </w:divBdr>
      <w:divsChild>
        <w:div w:id="1261449434">
          <w:marLeft w:val="0"/>
          <w:marRight w:val="0"/>
          <w:marTop w:val="0"/>
          <w:marBottom w:val="0"/>
          <w:divBdr>
            <w:top w:val="none" w:sz="0" w:space="0" w:color="auto"/>
            <w:left w:val="none" w:sz="0" w:space="0" w:color="auto"/>
            <w:bottom w:val="none" w:sz="0" w:space="0" w:color="auto"/>
            <w:right w:val="none" w:sz="0" w:space="0" w:color="auto"/>
          </w:divBdr>
          <w:divsChild>
            <w:div w:id="993795987">
              <w:marLeft w:val="0"/>
              <w:marRight w:val="0"/>
              <w:marTop w:val="0"/>
              <w:marBottom w:val="0"/>
              <w:divBdr>
                <w:top w:val="none" w:sz="0" w:space="0" w:color="auto"/>
                <w:left w:val="none" w:sz="0" w:space="0" w:color="auto"/>
                <w:bottom w:val="none" w:sz="0" w:space="0" w:color="auto"/>
                <w:right w:val="none" w:sz="0" w:space="0" w:color="auto"/>
              </w:divBdr>
              <w:divsChild>
                <w:div w:id="92217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702959">
      <w:bodyDiv w:val="1"/>
      <w:marLeft w:val="0"/>
      <w:marRight w:val="0"/>
      <w:marTop w:val="0"/>
      <w:marBottom w:val="0"/>
      <w:divBdr>
        <w:top w:val="none" w:sz="0" w:space="0" w:color="auto"/>
        <w:left w:val="none" w:sz="0" w:space="0" w:color="auto"/>
        <w:bottom w:val="none" w:sz="0" w:space="0" w:color="auto"/>
        <w:right w:val="none" w:sz="0" w:space="0" w:color="auto"/>
      </w:divBdr>
      <w:divsChild>
        <w:div w:id="1953707937">
          <w:marLeft w:val="0"/>
          <w:marRight w:val="0"/>
          <w:marTop w:val="0"/>
          <w:marBottom w:val="0"/>
          <w:divBdr>
            <w:top w:val="none" w:sz="0" w:space="0" w:color="auto"/>
            <w:left w:val="none" w:sz="0" w:space="0" w:color="auto"/>
            <w:bottom w:val="none" w:sz="0" w:space="0" w:color="auto"/>
            <w:right w:val="none" w:sz="0" w:space="0" w:color="auto"/>
          </w:divBdr>
          <w:divsChild>
            <w:div w:id="640424608">
              <w:marLeft w:val="0"/>
              <w:marRight w:val="0"/>
              <w:marTop w:val="0"/>
              <w:marBottom w:val="0"/>
              <w:divBdr>
                <w:top w:val="none" w:sz="0" w:space="0" w:color="auto"/>
                <w:left w:val="none" w:sz="0" w:space="0" w:color="auto"/>
                <w:bottom w:val="none" w:sz="0" w:space="0" w:color="auto"/>
                <w:right w:val="none" w:sz="0" w:space="0" w:color="auto"/>
              </w:divBdr>
              <w:divsChild>
                <w:div w:id="94018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654640">
      <w:bodyDiv w:val="1"/>
      <w:marLeft w:val="0"/>
      <w:marRight w:val="0"/>
      <w:marTop w:val="0"/>
      <w:marBottom w:val="0"/>
      <w:divBdr>
        <w:top w:val="none" w:sz="0" w:space="0" w:color="auto"/>
        <w:left w:val="none" w:sz="0" w:space="0" w:color="auto"/>
        <w:bottom w:val="none" w:sz="0" w:space="0" w:color="auto"/>
        <w:right w:val="none" w:sz="0" w:space="0" w:color="auto"/>
      </w:divBdr>
      <w:divsChild>
        <w:div w:id="1632780117">
          <w:marLeft w:val="0"/>
          <w:marRight w:val="0"/>
          <w:marTop w:val="0"/>
          <w:marBottom w:val="0"/>
          <w:divBdr>
            <w:top w:val="none" w:sz="0" w:space="0" w:color="auto"/>
            <w:left w:val="none" w:sz="0" w:space="0" w:color="auto"/>
            <w:bottom w:val="none" w:sz="0" w:space="0" w:color="auto"/>
            <w:right w:val="none" w:sz="0" w:space="0" w:color="auto"/>
          </w:divBdr>
          <w:divsChild>
            <w:div w:id="1591112134">
              <w:marLeft w:val="0"/>
              <w:marRight w:val="0"/>
              <w:marTop w:val="0"/>
              <w:marBottom w:val="0"/>
              <w:divBdr>
                <w:top w:val="none" w:sz="0" w:space="0" w:color="auto"/>
                <w:left w:val="none" w:sz="0" w:space="0" w:color="auto"/>
                <w:bottom w:val="none" w:sz="0" w:space="0" w:color="auto"/>
                <w:right w:val="none" w:sz="0" w:space="0" w:color="auto"/>
              </w:divBdr>
              <w:divsChild>
                <w:div w:id="208857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264194">
      <w:bodyDiv w:val="1"/>
      <w:marLeft w:val="0"/>
      <w:marRight w:val="0"/>
      <w:marTop w:val="0"/>
      <w:marBottom w:val="0"/>
      <w:divBdr>
        <w:top w:val="none" w:sz="0" w:space="0" w:color="auto"/>
        <w:left w:val="none" w:sz="0" w:space="0" w:color="auto"/>
        <w:bottom w:val="none" w:sz="0" w:space="0" w:color="auto"/>
        <w:right w:val="none" w:sz="0" w:space="0" w:color="auto"/>
      </w:divBdr>
      <w:divsChild>
        <w:div w:id="31149993">
          <w:marLeft w:val="0"/>
          <w:marRight w:val="0"/>
          <w:marTop w:val="0"/>
          <w:marBottom w:val="0"/>
          <w:divBdr>
            <w:top w:val="none" w:sz="0" w:space="0" w:color="auto"/>
            <w:left w:val="none" w:sz="0" w:space="0" w:color="auto"/>
            <w:bottom w:val="none" w:sz="0" w:space="0" w:color="auto"/>
            <w:right w:val="none" w:sz="0" w:space="0" w:color="auto"/>
          </w:divBdr>
          <w:divsChild>
            <w:div w:id="509755780">
              <w:marLeft w:val="0"/>
              <w:marRight w:val="0"/>
              <w:marTop w:val="0"/>
              <w:marBottom w:val="0"/>
              <w:divBdr>
                <w:top w:val="none" w:sz="0" w:space="0" w:color="auto"/>
                <w:left w:val="none" w:sz="0" w:space="0" w:color="auto"/>
                <w:bottom w:val="none" w:sz="0" w:space="0" w:color="auto"/>
                <w:right w:val="none" w:sz="0" w:space="0" w:color="auto"/>
              </w:divBdr>
              <w:divsChild>
                <w:div w:id="80786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875207">
      <w:bodyDiv w:val="1"/>
      <w:marLeft w:val="0"/>
      <w:marRight w:val="0"/>
      <w:marTop w:val="0"/>
      <w:marBottom w:val="0"/>
      <w:divBdr>
        <w:top w:val="none" w:sz="0" w:space="0" w:color="auto"/>
        <w:left w:val="none" w:sz="0" w:space="0" w:color="auto"/>
        <w:bottom w:val="none" w:sz="0" w:space="0" w:color="auto"/>
        <w:right w:val="none" w:sz="0" w:space="0" w:color="auto"/>
      </w:divBdr>
      <w:divsChild>
        <w:div w:id="1612857680">
          <w:marLeft w:val="0"/>
          <w:marRight w:val="0"/>
          <w:marTop w:val="0"/>
          <w:marBottom w:val="0"/>
          <w:divBdr>
            <w:top w:val="none" w:sz="0" w:space="0" w:color="auto"/>
            <w:left w:val="none" w:sz="0" w:space="0" w:color="auto"/>
            <w:bottom w:val="none" w:sz="0" w:space="0" w:color="auto"/>
            <w:right w:val="none" w:sz="0" w:space="0" w:color="auto"/>
          </w:divBdr>
          <w:divsChild>
            <w:div w:id="1092820479">
              <w:marLeft w:val="0"/>
              <w:marRight w:val="0"/>
              <w:marTop w:val="0"/>
              <w:marBottom w:val="0"/>
              <w:divBdr>
                <w:top w:val="none" w:sz="0" w:space="0" w:color="auto"/>
                <w:left w:val="none" w:sz="0" w:space="0" w:color="auto"/>
                <w:bottom w:val="none" w:sz="0" w:space="0" w:color="auto"/>
                <w:right w:val="none" w:sz="0" w:space="0" w:color="auto"/>
              </w:divBdr>
              <w:divsChild>
                <w:div w:id="101885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711370">
      <w:bodyDiv w:val="1"/>
      <w:marLeft w:val="0"/>
      <w:marRight w:val="0"/>
      <w:marTop w:val="0"/>
      <w:marBottom w:val="0"/>
      <w:divBdr>
        <w:top w:val="none" w:sz="0" w:space="0" w:color="auto"/>
        <w:left w:val="none" w:sz="0" w:space="0" w:color="auto"/>
        <w:bottom w:val="none" w:sz="0" w:space="0" w:color="auto"/>
        <w:right w:val="none" w:sz="0" w:space="0" w:color="auto"/>
      </w:divBdr>
    </w:div>
    <w:div w:id="1066493602">
      <w:bodyDiv w:val="1"/>
      <w:marLeft w:val="0"/>
      <w:marRight w:val="0"/>
      <w:marTop w:val="0"/>
      <w:marBottom w:val="0"/>
      <w:divBdr>
        <w:top w:val="none" w:sz="0" w:space="0" w:color="auto"/>
        <w:left w:val="none" w:sz="0" w:space="0" w:color="auto"/>
        <w:bottom w:val="none" w:sz="0" w:space="0" w:color="auto"/>
        <w:right w:val="none" w:sz="0" w:space="0" w:color="auto"/>
      </w:divBdr>
      <w:divsChild>
        <w:div w:id="864439953">
          <w:marLeft w:val="0"/>
          <w:marRight w:val="0"/>
          <w:marTop w:val="0"/>
          <w:marBottom w:val="0"/>
          <w:divBdr>
            <w:top w:val="none" w:sz="0" w:space="0" w:color="auto"/>
            <w:left w:val="none" w:sz="0" w:space="0" w:color="auto"/>
            <w:bottom w:val="none" w:sz="0" w:space="0" w:color="auto"/>
            <w:right w:val="none" w:sz="0" w:space="0" w:color="auto"/>
          </w:divBdr>
          <w:divsChild>
            <w:div w:id="1620917891">
              <w:marLeft w:val="0"/>
              <w:marRight w:val="0"/>
              <w:marTop w:val="0"/>
              <w:marBottom w:val="0"/>
              <w:divBdr>
                <w:top w:val="none" w:sz="0" w:space="0" w:color="auto"/>
                <w:left w:val="none" w:sz="0" w:space="0" w:color="auto"/>
                <w:bottom w:val="none" w:sz="0" w:space="0" w:color="auto"/>
                <w:right w:val="none" w:sz="0" w:space="0" w:color="auto"/>
              </w:divBdr>
              <w:divsChild>
                <w:div w:id="168501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571577">
      <w:bodyDiv w:val="1"/>
      <w:marLeft w:val="0"/>
      <w:marRight w:val="0"/>
      <w:marTop w:val="0"/>
      <w:marBottom w:val="0"/>
      <w:divBdr>
        <w:top w:val="none" w:sz="0" w:space="0" w:color="auto"/>
        <w:left w:val="none" w:sz="0" w:space="0" w:color="auto"/>
        <w:bottom w:val="none" w:sz="0" w:space="0" w:color="auto"/>
        <w:right w:val="none" w:sz="0" w:space="0" w:color="auto"/>
      </w:divBdr>
      <w:divsChild>
        <w:div w:id="1102609308">
          <w:marLeft w:val="0"/>
          <w:marRight w:val="0"/>
          <w:marTop w:val="0"/>
          <w:marBottom w:val="0"/>
          <w:divBdr>
            <w:top w:val="none" w:sz="0" w:space="0" w:color="auto"/>
            <w:left w:val="none" w:sz="0" w:space="0" w:color="auto"/>
            <w:bottom w:val="none" w:sz="0" w:space="0" w:color="auto"/>
            <w:right w:val="none" w:sz="0" w:space="0" w:color="auto"/>
          </w:divBdr>
          <w:divsChild>
            <w:div w:id="2086025949">
              <w:marLeft w:val="0"/>
              <w:marRight w:val="0"/>
              <w:marTop w:val="0"/>
              <w:marBottom w:val="0"/>
              <w:divBdr>
                <w:top w:val="none" w:sz="0" w:space="0" w:color="auto"/>
                <w:left w:val="none" w:sz="0" w:space="0" w:color="auto"/>
                <w:bottom w:val="none" w:sz="0" w:space="0" w:color="auto"/>
                <w:right w:val="none" w:sz="0" w:space="0" w:color="auto"/>
              </w:divBdr>
              <w:divsChild>
                <w:div w:id="13915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394421">
      <w:bodyDiv w:val="1"/>
      <w:marLeft w:val="0"/>
      <w:marRight w:val="0"/>
      <w:marTop w:val="0"/>
      <w:marBottom w:val="0"/>
      <w:divBdr>
        <w:top w:val="none" w:sz="0" w:space="0" w:color="auto"/>
        <w:left w:val="none" w:sz="0" w:space="0" w:color="auto"/>
        <w:bottom w:val="none" w:sz="0" w:space="0" w:color="auto"/>
        <w:right w:val="none" w:sz="0" w:space="0" w:color="auto"/>
      </w:divBdr>
      <w:divsChild>
        <w:div w:id="818116027">
          <w:marLeft w:val="0"/>
          <w:marRight w:val="0"/>
          <w:marTop w:val="0"/>
          <w:marBottom w:val="0"/>
          <w:divBdr>
            <w:top w:val="none" w:sz="0" w:space="0" w:color="auto"/>
            <w:left w:val="none" w:sz="0" w:space="0" w:color="auto"/>
            <w:bottom w:val="none" w:sz="0" w:space="0" w:color="auto"/>
            <w:right w:val="none" w:sz="0" w:space="0" w:color="auto"/>
          </w:divBdr>
          <w:divsChild>
            <w:div w:id="1820072433">
              <w:marLeft w:val="0"/>
              <w:marRight w:val="0"/>
              <w:marTop w:val="0"/>
              <w:marBottom w:val="0"/>
              <w:divBdr>
                <w:top w:val="none" w:sz="0" w:space="0" w:color="auto"/>
                <w:left w:val="none" w:sz="0" w:space="0" w:color="auto"/>
                <w:bottom w:val="none" w:sz="0" w:space="0" w:color="auto"/>
                <w:right w:val="none" w:sz="0" w:space="0" w:color="auto"/>
              </w:divBdr>
              <w:divsChild>
                <w:div w:id="318701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118537">
      <w:bodyDiv w:val="1"/>
      <w:marLeft w:val="0"/>
      <w:marRight w:val="0"/>
      <w:marTop w:val="0"/>
      <w:marBottom w:val="0"/>
      <w:divBdr>
        <w:top w:val="none" w:sz="0" w:space="0" w:color="auto"/>
        <w:left w:val="none" w:sz="0" w:space="0" w:color="auto"/>
        <w:bottom w:val="none" w:sz="0" w:space="0" w:color="auto"/>
        <w:right w:val="none" w:sz="0" w:space="0" w:color="auto"/>
      </w:divBdr>
      <w:divsChild>
        <w:div w:id="930433938">
          <w:marLeft w:val="0"/>
          <w:marRight w:val="0"/>
          <w:marTop w:val="0"/>
          <w:marBottom w:val="0"/>
          <w:divBdr>
            <w:top w:val="none" w:sz="0" w:space="0" w:color="auto"/>
            <w:left w:val="none" w:sz="0" w:space="0" w:color="auto"/>
            <w:bottom w:val="none" w:sz="0" w:space="0" w:color="auto"/>
            <w:right w:val="none" w:sz="0" w:space="0" w:color="auto"/>
          </w:divBdr>
          <w:divsChild>
            <w:div w:id="772557200">
              <w:marLeft w:val="0"/>
              <w:marRight w:val="0"/>
              <w:marTop w:val="0"/>
              <w:marBottom w:val="0"/>
              <w:divBdr>
                <w:top w:val="none" w:sz="0" w:space="0" w:color="auto"/>
                <w:left w:val="none" w:sz="0" w:space="0" w:color="auto"/>
                <w:bottom w:val="none" w:sz="0" w:space="0" w:color="auto"/>
                <w:right w:val="none" w:sz="0" w:space="0" w:color="auto"/>
              </w:divBdr>
              <w:divsChild>
                <w:div w:id="157092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631359">
      <w:bodyDiv w:val="1"/>
      <w:marLeft w:val="0"/>
      <w:marRight w:val="0"/>
      <w:marTop w:val="0"/>
      <w:marBottom w:val="0"/>
      <w:divBdr>
        <w:top w:val="none" w:sz="0" w:space="0" w:color="auto"/>
        <w:left w:val="none" w:sz="0" w:space="0" w:color="auto"/>
        <w:bottom w:val="none" w:sz="0" w:space="0" w:color="auto"/>
        <w:right w:val="none" w:sz="0" w:space="0" w:color="auto"/>
      </w:divBdr>
      <w:divsChild>
        <w:div w:id="668603322">
          <w:marLeft w:val="0"/>
          <w:marRight w:val="0"/>
          <w:marTop w:val="0"/>
          <w:marBottom w:val="0"/>
          <w:divBdr>
            <w:top w:val="none" w:sz="0" w:space="0" w:color="auto"/>
            <w:left w:val="none" w:sz="0" w:space="0" w:color="auto"/>
            <w:bottom w:val="none" w:sz="0" w:space="0" w:color="auto"/>
            <w:right w:val="none" w:sz="0" w:space="0" w:color="auto"/>
          </w:divBdr>
          <w:divsChild>
            <w:div w:id="582691006">
              <w:marLeft w:val="0"/>
              <w:marRight w:val="0"/>
              <w:marTop w:val="0"/>
              <w:marBottom w:val="0"/>
              <w:divBdr>
                <w:top w:val="none" w:sz="0" w:space="0" w:color="auto"/>
                <w:left w:val="none" w:sz="0" w:space="0" w:color="auto"/>
                <w:bottom w:val="none" w:sz="0" w:space="0" w:color="auto"/>
                <w:right w:val="none" w:sz="0" w:space="0" w:color="auto"/>
              </w:divBdr>
              <w:divsChild>
                <w:div w:id="206995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168312">
      <w:bodyDiv w:val="1"/>
      <w:marLeft w:val="0"/>
      <w:marRight w:val="0"/>
      <w:marTop w:val="0"/>
      <w:marBottom w:val="0"/>
      <w:divBdr>
        <w:top w:val="none" w:sz="0" w:space="0" w:color="auto"/>
        <w:left w:val="none" w:sz="0" w:space="0" w:color="auto"/>
        <w:bottom w:val="none" w:sz="0" w:space="0" w:color="auto"/>
        <w:right w:val="none" w:sz="0" w:space="0" w:color="auto"/>
      </w:divBdr>
    </w:div>
    <w:div w:id="1452284497">
      <w:bodyDiv w:val="1"/>
      <w:marLeft w:val="0"/>
      <w:marRight w:val="0"/>
      <w:marTop w:val="0"/>
      <w:marBottom w:val="0"/>
      <w:divBdr>
        <w:top w:val="none" w:sz="0" w:space="0" w:color="auto"/>
        <w:left w:val="none" w:sz="0" w:space="0" w:color="auto"/>
        <w:bottom w:val="none" w:sz="0" w:space="0" w:color="auto"/>
        <w:right w:val="none" w:sz="0" w:space="0" w:color="auto"/>
      </w:divBdr>
      <w:divsChild>
        <w:div w:id="632104091">
          <w:marLeft w:val="0"/>
          <w:marRight w:val="0"/>
          <w:marTop w:val="0"/>
          <w:marBottom w:val="0"/>
          <w:divBdr>
            <w:top w:val="none" w:sz="0" w:space="0" w:color="auto"/>
            <w:left w:val="none" w:sz="0" w:space="0" w:color="auto"/>
            <w:bottom w:val="none" w:sz="0" w:space="0" w:color="auto"/>
            <w:right w:val="none" w:sz="0" w:space="0" w:color="auto"/>
          </w:divBdr>
          <w:divsChild>
            <w:div w:id="97869578">
              <w:marLeft w:val="0"/>
              <w:marRight w:val="0"/>
              <w:marTop w:val="0"/>
              <w:marBottom w:val="0"/>
              <w:divBdr>
                <w:top w:val="none" w:sz="0" w:space="0" w:color="auto"/>
                <w:left w:val="none" w:sz="0" w:space="0" w:color="auto"/>
                <w:bottom w:val="none" w:sz="0" w:space="0" w:color="auto"/>
                <w:right w:val="none" w:sz="0" w:space="0" w:color="auto"/>
              </w:divBdr>
              <w:divsChild>
                <w:div w:id="179648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710272">
      <w:bodyDiv w:val="1"/>
      <w:marLeft w:val="0"/>
      <w:marRight w:val="0"/>
      <w:marTop w:val="0"/>
      <w:marBottom w:val="0"/>
      <w:divBdr>
        <w:top w:val="none" w:sz="0" w:space="0" w:color="auto"/>
        <w:left w:val="none" w:sz="0" w:space="0" w:color="auto"/>
        <w:bottom w:val="none" w:sz="0" w:space="0" w:color="auto"/>
        <w:right w:val="none" w:sz="0" w:space="0" w:color="auto"/>
      </w:divBdr>
      <w:divsChild>
        <w:div w:id="302933328">
          <w:marLeft w:val="0"/>
          <w:marRight w:val="0"/>
          <w:marTop w:val="0"/>
          <w:marBottom w:val="0"/>
          <w:divBdr>
            <w:top w:val="none" w:sz="0" w:space="0" w:color="auto"/>
            <w:left w:val="none" w:sz="0" w:space="0" w:color="auto"/>
            <w:bottom w:val="none" w:sz="0" w:space="0" w:color="auto"/>
            <w:right w:val="none" w:sz="0" w:space="0" w:color="auto"/>
          </w:divBdr>
          <w:divsChild>
            <w:div w:id="1339649843">
              <w:marLeft w:val="0"/>
              <w:marRight w:val="0"/>
              <w:marTop w:val="0"/>
              <w:marBottom w:val="0"/>
              <w:divBdr>
                <w:top w:val="none" w:sz="0" w:space="0" w:color="auto"/>
                <w:left w:val="none" w:sz="0" w:space="0" w:color="auto"/>
                <w:bottom w:val="none" w:sz="0" w:space="0" w:color="auto"/>
                <w:right w:val="none" w:sz="0" w:space="0" w:color="auto"/>
              </w:divBdr>
              <w:divsChild>
                <w:div w:id="98450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770781">
      <w:bodyDiv w:val="1"/>
      <w:marLeft w:val="0"/>
      <w:marRight w:val="0"/>
      <w:marTop w:val="0"/>
      <w:marBottom w:val="0"/>
      <w:divBdr>
        <w:top w:val="none" w:sz="0" w:space="0" w:color="auto"/>
        <w:left w:val="none" w:sz="0" w:space="0" w:color="auto"/>
        <w:bottom w:val="none" w:sz="0" w:space="0" w:color="auto"/>
        <w:right w:val="none" w:sz="0" w:space="0" w:color="auto"/>
      </w:divBdr>
      <w:divsChild>
        <w:div w:id="2100827990">
          <w:marLeft w:val="0"/>
          <w:marRight w:val="0"/>
          <w:marTop w:val="0"/>
          <w:marBottom w:val="0"/>
          <w:divBdr>
            <w:top w:val="none" w:sz="0" w:space="0" w:color="auto"/>
            <w:left w:val="none" w:sz="0" w:space="0" w:color="auto"/>
            <w:bottom w:val="none" w:sz="0" w:space="0" w:color="auto"/>
            <w:right w:val="none" w:sz="0" w:space="0" w:color="auto"/>
          </w:divBdr>
          <w:divsChild>
            <w:div w:id="1296789338">
              <w:marLeft w:val="0"/>
              <w:marRight w:val="0"/>
              <w:marTop w:val="0"/>
              <w:marBottom w:val="0"/>
              <w:divBdr>
                <w:top w:val="none" w:sz="0" w:space="0" w:color="auto"/>
                <w:left w:val="none" w:sz="0" w:space="0" w:color="auto"/>
                <w:bottom w:val="none" w:sz="0" w:space="0" w:color="auto"/>
                <w:right w:val="none" w:sz="0" w:space="0" w:color="auto"/>
              </w:divBdr>
              <w:divsChild>
                <w:div w:id="18667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029421">
      <w:bodyDiv w:val="1"/>
      <w:marLeft w:val="0"/>
      <w:marRight w:val="0"/>
      <w:marTop w:val="0"/>
      <w:marBottom w:val="0"/>
      <w:divBdr>
        <w:top w:val="none" w:sz="0" w:space="0" w:color="auto"/>
        <w:left w:val="none" w:sz="0" w:space="0" w:color="auto"/>
        <w:bottom w:val="none" w:sz="0" w:space="0" w:color="auto"/>
        <w:right w:val="none" w:sz="0" w:space="0" w:color="auto"/>
      </w:divBdr>
      <w:divsChild>
        <w:div w:id="916324925">
          <w:marLeft w:val="0"/>
          <w:marRight w:val="0"/>
          <w:marTop w:val="0"/>
          <w:marBottom w:val="0"/>
          <w:divBdr>
            <w:top w:val="none" w:sz="0" w:space="0" w:color="auto"/>
            <w:left w:val="none" w:sz="0" w:space="0" w:color="auto"/>
            <w:bottom w:val="none" w:sz="0" w:space="0" w:color="auto"/>
            <w:right w:val="none" w:sz="0" w:space="0" w:color="auto"/>
          </w:divBdr>
          <w:divsChild>
            <w:div w:id="614099286">
              <w:marLeft w:val="0"/>
              <w:marRight w:val="0"/>
              <w:marTop w:val="0"/>
              <w:marBottom w:val="0"/>
              <w:divBdr>
                <w:top w:val="none" w:sz="0" w:space="0" w:color="auto"/>
                <w:left w:val="none" w:sz="0" w:space="0" w:color="auto"/>
                <w:bottom w:val="none" w:sz="0" w:space="0" w:color="auto"/>
                <w:right w:val="none" w:sz="0" w:space="0" w:color="auto"/>
              </w:divBdr>
              <w:divsChild>
                <w:div w:id="18548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278828">
      <w:bodyDiv w:val="1"/>
      <w:marLeft w:val="0"/>
      <w:marRight w:val="0"/>
      <w:marTop w:val="0"/>
      <w:marBottom w:val="0"/>
      <w:divBdr>
        <w:top w:val="none" w:sz="0" w:space="0" w:color="auto"/>
        <w:left w:val="none" w:sz="0" w:space="0" w:color="auto"/>
        <w:bottom w:val="none" w:sz="0" w:space="0" w:color="auto"/>
        <w:right w:val="none" w:sz="0" w:space="0" w:color="auto"/>
      </w:divBdr>
      <w:divsChild>
        <w:div w:id="904559951">
          <w:marLeft w:val="0"/>
          <w:marRight w:val="0"/>
          <w:marTop w:val="0"/>
          <w:marBottom w:val="0"/>
          <w:divBdr>
            <w:top w:val="none" w:sz="0" w:space="0" w:color="auto"/>
            <w:left w:val="none" w:sz="0" w:space="0" w:color="auto"/>
            <w:bottom w:val="none" w:sz="0" w:space="0" w:color="auto"/>
            <w:right w:val="none" w:sz="0" w:space="0" w:color="auto"/>
          </w:divBdr>
          <w:divsChild>
            <w:div w:id="549347319">
              <w:marLeft w:val="0"/>
              <w:marRight w:val="0"/>
              <w:marTop w:val="0"/>
              <w:marBottom w:val="0"/>
              <w:divBdr>
                <w:top w:val="none" w:sz="0" w:space="0" w:color="auto"/>
                <w:left w:val="none" w:sz="0" w:space="0" w:color="auto"/>
                <w:bottom w:val="none" w:sz="0" w:space="0" w:color="auto"/>
                <w:right w:val="none" w:sz="0" w:space="0" w:color="auto"/>
              </w:divBdr>
              <w:divsChild>
                <w:div w:id="158757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stlaw.com/Find/Default.wl?rs=dfa1.0&amp;vr=2.0&amp;DB=1000091&amp;DocName=NYJUS753-A&amp;FindType=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0E6028-D0AA-4CBA-B8A8-7AB993605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464</TotalTime>
  <Pages>6</Pages>
  <Words>2166</Words>
  <Characters>12352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Donnino</dc:creator>
  <cp:keywords/>
  <dc:description/>
  <cp:lastModifiedBy>Bill Donnino</cp:lastModifiedBy>
  <cp:revision>87</cp:revision>
  <dcterms:created xsi:type="dcterms:W3CDTF">2022-10-05T16:06:00Z</dcterms:created>
  <dcterms:modified xsi:type="dcterms:W3CDTF">2022-11-22T02:57:00Z</dcterms:modified>
</cp:coreProperties>
</file>