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A129" w14:textId="5ADF71D6" w:rsidR="00250B00" w:rsidRPr="00CC1EA8" w:rsidRDefault="00CC1EA8" w:rsidP="00CC1EA8">
      <w:pPr>
        <w:spacing w:after="0" w:line="240" w:lineRule="auto"/>
        <w:rPr>
          <w:rFonts w:ascii="Times New Roman" w:eastAsia="Times New Roman" w:hAnsi="Times New Roman" w:cs="Times New Roman"/>
          <w:b/>
          <w:bCs/>
          <w:color w:val="000000"/>
          <w:spacing w:val="-6"/>
          <w:sz w:val="28"/>
          <w:szCs w:val="28"/>
        </w:rPr>
      </w:pPr>
      <w:r>
        <w:rPr>
          <w:rFonts w:ascii="Times New Roman" w:eastAsia="Times New Roman" w:hAnsi="Times New Roman" w:cs="Times New Roman"/>
          <w:b/>
          <w:bCs/>
          <w:color w:val="000000"/>
          <w:spacing w:val="-6"/>
          <w:sz w:val="28"/>
          <w:szCs w:val="28"/>
        </w:rPr>
        <w:t xml:space="preserve">4.35.3 </w:t>
      </w:r>
      <w:r w:rsidR="00250B00" w:rsidRPr="00CC1EA8">
        <w:rPr>
          <w:rFonts w:ascii="Times New Roman" w:eastAsia="Times New Roman" w:hAnsi="Times New Roman" w:cs="Times New Roman"/>
          <w:b/>
          <w:bCs/>
          <w:color w:val="000000"/>
          <w:spacing w:val="-6"/>
          <w:sz w:val="28"/>
          <w:szCs w:val="28"/>
        </w:rPr>
        <w:t xml:space="preserve">Identification </w:t>
      </w:r>
      <w:r w:rsidR="003F2394" w:rsidRPr="00CC1EA8">
        <w:rPr>
          <w:rFonts w:ascii="Times New Roman" w:eastAsia="Times New Roman" w:hAnsi="Times New Roman" w:cs="Times New Roman"/>
          <w:b/>
          <w:bCs/>
          <w:color w:val="000000"/>
          <w:spacing w:val="-6"/>
          <w:sz w:val="28"/>
          <w:szCs w:val="28"/>
        </w:rPr>
        <w:t>M</w:t>
      </w:r>
      <w:r w:rsidR="00250B00" w:rsidRPr="00CC1EA8">
        <w:rPr>
          <w:rFonts w:ascii="Times New Roman" w:eastAsia="Times New Roman" w:hAnsi="Times New Roman" w:cs="Times New Roman"/>
          <w:b/>
          <w:bCs/>
          <w:color w:val="000000"/>
          <w:spacing w:val="-6"/>
          <w:sz w:val="28"/>
          <w:szCs w:val="28"/>
        </w:rPr>
        <w:t xml:space="preserve">ade for the </w:t>
      </w:r>
      <w:r w:rsidR="003F2394" w:rsidRPr="00CC1EA8">
        <w:rPr>
          <w:rFonts w:ascii="Times New Roman" w:eastAsia="Times New Roman" w:hAnsi="Times New Roman" w:cs="Times New Roman"/>
          <w:b/>
          <w:bCs/>
          <w:color w:val="000000"/>
          <w:spacing w:val="-6"/>
          <w:sz w:val="28"/>
          <w:szCs w:val="28"/>
        </w:rPr>
        <w:t>F</w:t>
      </w:r>
      <w:r w:rsidR="00250B00" w:rsidRPr="00CC1EA8">
        <w:rPr>
          <w:rFonts w:ascii="Times New Roman" w:eastAsia="Times New Roman" w:hAnsi="Times New Roman" w:cs="Times New Roman"/>
          <w:b/>
          <w:bCs/>
          <w:color w:val="000000"/>
          <w:spacing w:val="-6"/>
          <w:sz w:val="28"/>
          <w:szCs w:val="28"/>
        </w:rPr>
        <w:t>irst</w:t>
      </w:r>
      <w:r w:rsidR="003F2394" w:rsidRPr="00CC1EA8">
        <w:rPr>
          <w:rFonts w:ascii="Times New Roman" w:eastAsia="Times New Roman" w:hAnsi="Times New Roman" w:cs="Times New Roman"/>
          <w:b/>
          <w:bCs/>
          <w:color w:val="000000"/>
          <w:spacing w:val="-6"/>
          <w:sz w:val="28"/>
          <w:szCs w:val="28"/>
        </w:rPr>
        <w:t xml:space="preserve"> Ti</w:t>
      </w:r>
      <w:r w:rsidR="00250B00" w:rsidRPr="00CC1EA8">
        <w:rPr>
          <w:rFonts w:ascii="Times New Roman" w:eastAsia="Times New Roman" w:hAnsi="Times New Roman" w:cs="Times New Roman"/>
          <w:b/>
          <w:bCs/>
          <w:color w:val="000000"/>
          <w:spacing w:val="-6"/>
          <w:sz w:val="28"/>
          <w:szCs w:val="28"/>
        </w:rPr>
        <w:t>me in</w:t>
      </w:r>
      <w:r w:rsidR="003F2394" w:rsidRPr="00CC1EA8">
        <w:rPr>
          <w:rFonts w:ascii="Times New Roman" w:eastAsia="Times New Roman" w:hAnsi="Times New Roman" w:cs="Times New Roman"/>
          <w:b/>
          <w:bCs/>
          <w:color w:val="000000"/>
          <w:spacing w:val="-6"/>
          <w:sz w:val="28"/>
          <w:szCs w:val="28"/>
        </w:rPr>
        <w:t xml:space="preserve"> C</w:t>
      </w:r>
      <w:r w:rsidR="00250B00" w:rsidRPr="00CC1EA8">
        <w:rPr>
          <w:rFonts w:ascii="Times New Roman" w:eastAsia="Times New Roman" w:hAnsi="Times New Roman" w:cs="Times New Roman"/>
          <w:b/>
          <w:bCs/>
          <w:color w:val="000000"/>
          <w:spacing w:val="-6"/>
          <w:sz w:val="28"/>
          <w:szCs w:val="28"/>
        </w:rPr>
        <w:t xml:space="preserve">ourt </w:t>
      </w:r>
    </w:p>
    <w:p w14:paraId="283D646F" w14:textId="77777777" w:rsidR="00250B00" w:rsidRPr="00CC1EA8" w:rsidRDefault="00250B00" w:rsidP="00CC1EA8">
      <w:pPr>
        <w:spacing w:after="0" w:line="240" w:lineRule="auto"/>
        <w:rPr>
          <w:rFonts w:ascii="Times New Roman" w:eastAsia="Times New Roman" w:hAnsi="Times New Roman" w:cs="Times New Roman"/>
          <w:color w:val="000000"/>
          <w:spacing w:val="-6"/>
          <w:sz w:val="28"/>
          <w:szCs w:val="28"/>
        </w:rPr>
      </w:pPr>
    </w:p>
    <w:p w14:paraId="5642B530" w14:textId="1713F549" w:rsidR="00250B00" w:rsidRPr="00CC1EA8" w:rsidRDefault="00CC1EA8" w:rsidP="00CC1EA8">
      <w:pPr>
        <w:spacing w:after="0" w:line="240" w:lineRule="auto"/>
        <w:ind w:left="720" w:right="720"/>
        <w:contextualSpacing/>
        <w:jc w:val="both"/>
        <w:rPr>
          <w:rFonts w:ascii="Times New Roman" w:eastAsiaTheme="minorHAnsi" w:hAnsi="Times New Roman" w:cs="Times New Roman"/>
          <w:b/>
          <w:bCs/>
          <w:sz w:val="28"/>
          <w:szCs w:val="28"/>
        </w:rPr>
      </w:pPr>
      <w:r w:rsidRPr="00CC1EA8">
        <w:rPr>
          <w:rFonts w:ascii="Times New Roman" w:eastAsia="Times New Roman" w:hAnsi="Times New Roman" w:cs="Times New Roman"/>
          <w:b/>
          <w:bCs/>
          <w:color w:val="000000"/>
          <w:spacing w:val="-6"/>
          <w:sz w:val="28"/>
          <w:szCs w:val="28"/>
        </w:rPr>
        <w:t xml:space="preserve">(1) </w:t>
      </w:r>
      <w:r w:rsidR="00250B00" w:rsidRPr="00CC1EA8">
        <w:rPr>
          <w:rFonts w:ascii="Times New Roman" w:eastAsia="Times New Roman" w:hAnsi="Times New Roman" w:cs="Times New Roman"/>
          <w:b/>
          <w:bCs/>
          <w:color w:val="000000"/>
          <w:spacing w:val="-6"/>
          <w:sz w:val="28"/>
          <w:szCs w:val="28"/>
        </w:rPr>
        <w:t xml:space="preserve">When the People expect to call a witness who may make a first-time, in-court identification, they must </w:t>
      </w:r>
      <w:r w:rsidR="00231E68" w:rsidRPr="00CC1EA8">
        <w:rPr>
          <w:rFonts w:ascii="Times New Roman" w:eastAsia="Times New Roman" w:hAnsi="Times New Roman" w:cs="Times New Roman"/>
          <w:b/>
          <w:bCs/>
          <w:color w:val="000000"/>
          <w:spacing w:val="-6"/>
          <w:sz w:val="28"/>
          <w:szCs w:val="28"/>
        </w:rPr>
        <w:t xml:space="preserve">notify the defendant </w:t>
      </w:r>
      <w:r w:rsidR="0087558A" w:rsidRPr="00CC1EA8">
        <w:rPr>
          <w:rFonts w:ascii="Times New Roman" w:eastAsia="Times New Roman" w:hAnsi="Times New Roman" w:cs="Times New Roman"/>
          <w:b/>
          <w:bCs/>
          <w:color w:val="000000"/>
          <w:spacing w:val="-6"/>
          <w:sz w:val="28"/>
          <w:szCs w:val="28"/>
        </w:rPr>
        <w:t>of that possibility as early as practicable</w:t>
      </w:r>
      <w:r w:rsidR="0087558A" w:rsidRPr="00CC1EA8">
        <w:rPr>
          <w:rFonts w:ascii="Times New Roman" w:eastAsiaTheme="minorHAnsi" w:hAnsi="Times New Roman" w:cs="Times New Roman"/>
          <w:b/>
          <w:bCs/>
          <w:sz w:val="28"/>
          <w:szCs w:val="28"/>
        </w:rPr>
        <w:t xml:space="preserve"> </w:t>
      </w:r>
      <w:r w:rsidR="00250B00" w:rsidRPr="00CC1EA8">
        <w:rPr>
          <w:rFonts w:ascii="Times New Roman" w:eastAsia="Times New Roman" w:hAnsi="Times New Roman" w:cs="Times New Roman"/>
          <w:b/>
          <w:bCs/>
          <w:color w:val="000000"/>
          <w:spacing w:val="-6"/>
          <w:sz w:val="28"/>
          <w:szCs w:val="28"/>
        </w:rPr>
        <w:t xml:space="preserve">so that the defendant has a meaningful opportunity to request alternative identification procedures. </w:t>
      </w:r>
    </w:p>
    <w:p w14:paraId="582DDB7C" w14:textId="77777777" w:rsidR="00250B00" w:rsidRPr="00CC1EA8" w:rsidRDefault="00250B00" w:rsidP="00CC1EA8">
      <w:pPr>
        <w:spacing w:after="0" w:line="240" w:lineRule="auto"/>
        <w:contextualSpacing/>
        <w:rPr>
          <w:rFonts w:ascii="Times New Roman" w:eastAsiaTheme="minorHAnsi" w:hAnsi="Times New Roman" w:cs="Times New Roman"/>
          <w:b/>
          <w:bCs/>
          <w:sz w:val="28"/>
          <w:szCs w:val="28"/>
        </w:rPr>
      </w:pPr>
    </w:p>
    <w:p w14:paraId="2D60AC76" w14:textId="174D241E" w:rsidR="00630D9E" w:rsidRPr="00CC1EA8" w:rsidRDefault="00CC1EA8" w:rsidP="00CC1EA8">
      <w:pPr>
        <w:spacing w:after="0" w:line="240" w:lineRule="auto"/>
        <w:ind w:left="720" w:right="720"/>
        <w:contextualSpacing/>
        <w:jc w:val="both"/>
        <w:rPr>
          <w:rFonts w:ascii="Times New Roman" w:eastAsiaTheme="minorHAnsi" w:hAnsi="Times New Roman" w:cs="Times New Roman"/>
          <w:b/>
          <w:bCs/>
          <w:sz w:val="28"/>
          <w:szCs w:val="28"/>
        </w:rPr>
      </w:pPr>
      <w:r w:rsidRPr="00CC1EA8">
        <w:rPr>
          <w:rFonts w:ascii="Times New Roman" w:eastAsia="Times New Roman" w:hAnsi="Times New Roman" w:cs="Times New Roman"/>
          <w:b/>
          <w:bCs/>
          <w:color w:val="000000"/>
          <w:spacing w:val="-6"/>
          <w:sz w:val="28"/>
          <w:szCs w:val="28"/>
        </w:rPr>
        <w:t xml:space="preserve">(2) </w:t>
      </w:r>
      <w:r w:rsidR="00250B00" w:rsidRPr="00CC1EA8">
        <w:rPr>
          <w:rFonts w:ascii="Times New Roman" w:eastAsia="Times New Roman" w:hAnsi="Times New Roman" w:cs="Times New Roman"/>
          <w:b/>
          <w:bCs/>
          <w:color w:val="000000"/>
          <w:spacing w:val="-6"/>
          <w:sz w:val="28"/>
          <w:szCs w:val="28"/>
        </w:rPr>
        <w:t>Upon a defendant’s</w:t>
      </w:r>
      <w:r w:rsidR="00767F98" w:rsidRPr="00CC1EA8">
        <w:rPr>
          <w:rFonts w:ascii="Times New Roman" w:eastAsia="Times New Roman" w:hAnsi="Times New Roman" w:cs="Times New Roman"/>
          <w:b/>
          <w:bCs/>
          <w:color w:val="000000"/>
          <w:spacing w:val="-6"/>
          <w:sz w:val="28"/>
          <w:szCs w:val="28"/>
        </w:rPr>
        <w:t xml:space="preserve"> </w:t>
      </w:r>
      <w:r w:rsidR="004653BB" w:rsidRPr="00CC1EA8">
        <w:rPr>
          <w:rFonts w:ascii="Times New Roman" w:eastAsia="Times New Roman" w:hAnsi="Times New Roman" w:cs="Times New Roman"/>
          <w:b/>
          <w:bCs/>
          <w:color w:val="000000"/>
          <w:spacing w:val="-6"/>
          <w:sz w:val="28"/>
          <w:szCs w:val="28"/>
        </w:rPr>
        <w:t xml:space="preserve">explicit </w:t>
      </w:r>
      <w:r w:rsidR="00250B00" w:rsidRPr="00CC1EA8">
        <w:rPr>
          <w:rFonts w:ascii="Times New Roman" w:eastAsia="Times New Roman" w:hAnsi="Times New Roman" w:cs="Times New Roman"/>
          <w:b/>
          <w:bCs/>
          <w:color w:val="000000"/>
          <w:spacing w:val="-6"/>
          <w:sz w:val="28"/>
          <w:szCs w:val="28"/>
        </w:rPr>
        <w:t xml:space="preserve">request for an </w:t>
      </w:r>
      <w:r w:rsidR="007367BC" w:rsidRPr="00CC1EA8">
        <w:rPr>
          <w:rFonts w:ascii="Times New Roman" w:eastAsia="Times New Roman" w:hAnsi="Times New Roman" w:cs="Times New Roman"/>
          <w:b/>
          <w:bCs/>
          <w:color w:val="000000"/>
          <w:spacing w:val="-6"/>
          <w:sz w:val="28"/>
          <w:szCs w:val="28"/>
        </w:rPr>
        <w:t>altern</w:t>
      </w:r>
      <w:r w:rsidR="006B63FB" w:rsidRPr="00CC1EA8">
        <w:rPr>
          <w:rFonts w:ascii="Times New Roman" w:eastAsia="Times New Roman" w:hAnsi="Times New Roman" w:cs="Times New Roman"/>
          <w:b/>
          <w:bCs/>
          <w:color w:val="000000"/>
          <w:spacing w:val="-6"/>
          <w:sz w:val="28"/>
          <w:szCs w:val="28"/>
        </w:rPr>
        <w:t>ative</w:t>
      </w:r>
      <w:r w:rsidR="007367BC" w:rsidRPr="00CC1EA8">
        <w:rPr>
          <w:rFonts w:ascii="Times New Roman" w:eastAsia="Times New Roman" w:hAnsi="Times New Roman" w:cs="Times New Roman"/>
          <w:b/>
          <w:bCs/>
          <w:color w:val="000000"/>
          <w:spacing w:val="-6"/>
          <w:sz w:val="28"/>
          <w:szCs w:val="28"/>
        </w:rPr>
        <w:t xml:space="preserve"> </w:t>
      </w:r>
      <w:r w:rsidR="00250B00" w:rsidRPr="00CC1EA8">
        <w:rPr>
          <w:rFonts w:ascii="Times New Roman" w:eastAsia="Times New Roman" w:hAnsi="Times New Roman" w:cs="Times New Roman"/>
          <w:b/>
          <w:bCs/>
          <w:color w:val="000000"/>
          <w:spacing w:val="-6"/>
          <w:sz w:val="28"/>
          <w:szCs w:val="28"/>
        </w:rPr>
        <w:t>identification procedure, a trial court may exercise its discretion to fashion any measures necessary to reduce the risk of misidentification</w:t>
      </w:r>
      <w:r w:rsidR="00247055" w:rsidRPr="00CC1EA8">
        <w:rPr>
          <w:rFonts w:ascii="Times New Roman" w:eastAsia="Times New Roman" w:hAnsi="Times New Roman" w:cs="Times New Roman"/>
          <w:b/>
          <w:bCs/>
          <w:color w:val="000000"/>
          <w:spacing w:val="-6"/>
          <w:sz w:val="28"/>
          <w:szCs w:val="28"/>
        </w:rPr>
        <w:t xml:space="preserve">, </w:t>
      </w:r>
      <w:r w:rsidR="00247055" w:rsidRPr="00CC1EA8">
        <w:rPr>
          <w:rFonts w:ascii="Times New Roman" w:eastAsiaTheme="minorHAnsi" w:hAnsi="Times New Roman" w:cs="Times New Roman"/>
          <w:b/>
          <w:bCs/>
          <w:sz w:val="28"/>
          <w:szCs w:val="28"/>
        </w:rPr>
        <w:t>i</w:t>
      </w:r>
      <w:r w:rsidR="007538AE" w:rsidRPr="00CC1EA8">
        <w:rPr>
          <w:rFonts w:ascii="Times New Roman" w:eastAsiaTheme="minorHAnsi" w:hAnsi="Times New Roman" w:cs="Times New Roman"/>
          <w:b/>
          <w:bCs/>
          <w:sz w:val="28"/>
          <w:szCs w:val="28"/>
        </w:rPr>
        <w:t xml:space="preserve">ncluding </w:t>
      </w:r>
      <w:r w:rsidR="00D42294" w:rsidRPr="00CC1EA8">
        <w:rPr>
          <w:rFonts w:ascii="Times New Roman" w:eastAsiaTheme="minorHAnsi" w:hAnsi="Times New Roman" w:cs="Times New Roman"/>
          <w:b/>
          <w:bCs/>
          <w:sz w:val="28"/>
          <w:szCs w:val="28"/>
        </w:rPr>
        <w:t>an altern</w:t>
      </w:r>
      <w:r w:rsidR="006B63FB" w:rsidRPr="00CC1EA8">
        <w:rPr>
          <w:rFonts w:ascii="Times New Roman" w:eastAsiaTheme="minorHAnsi" w:hAnsi="Times New Roman" w:cs="Times New Roman"/>
          <w:b/>
          <w:bCs/>
          <w:sz w:val="28"/>
          <w:szCs w:val="28"/>
        </w:rPr>
        <w:t>ative</w:t>
      </w:r>
      <w:r w:rsidR="00D42294" w:rsidRPr="00CC1EA8">
        <w:rPr>
          <w:rFonts w:ascii="Times New Roman" w:eastAsiaTheme="minorHAnsi" w:hAnsi="Times New Roman" w:cs="Times New Roman"/>
          <w:b/>
          <w:bCs/>
          <w:sz w:val="28"/>
          <w:szCs w:val="28"/>
        </w:rPr>
        <w:t xml:space="preserve"> identification procedure</w:t>
      </w:r>
      <w:r w:rsidR="00A36CAA" w:rsidRPr="00CC1EA8">
        <w:rPr>
          <w:rFonts w:ascii="Times New Roman" w:eastAsiaTheme="minorHAnsi" w:hAnsi="Times New Roman" w:cs="Times New Roman"/>
          <w:b/>
          <w:bCs/>
          <w:color w:val="000000" w:themeColor="text1"/>
          <w:sz w:val="28"/>
          <w:szCs w:val="28"/>
        </w:rPr>
        <w:t>,</w:t>
      </w:r>
      <w:r w:rsidR="00D42294" w:rsidRPr="00CC1EA8">
        <w:rPr>
          <w:rFonts w:ascii="Times New Roman" w:eastAsiaTheme="minorHAnsi" w:hAnsi="Times New Roman" w:cs="Times New Roman"/>
          <w:b/>
          <w:bCs/>
          <w:color w:val="000000" w:themeColor="text1"/>
          <w:sz w:val="28"/>
          <w:szCs w:val="28"/>
        </w:rPr>
        <w:t xml:space="preserve"> or </w:t>
      </w:r>
      <w:r w:rsidR="00AC29ED" w:rsidRPr="00CC1EA8">
        <w:rPr>
          <w:rFonts w:ascii="Times New Roman" w:eastAsiaTheme="minorHAnsi" w:hAnsi="Times New Roman" w:cs="Times New Roman"/>
          <w:b/>
          <w:bCs/>
          <w:color w:val="000000" w:themeColor="text1"/>
          <w:sz w:val="28"/>
          <w:szCs w:val="28"/>
        </w:rPr>
        <w:t>in the court’s discreti</w:t>
      </w:r>
      <w:r w:rsidR="000342B8" w:rsidRPr="00CC1EA8">
        <w:rPr>
          <w:rFonts w:ascii="Times New Roman" w:eastAsiaTheme="minorHAnsi" w:hAnsi="Times New Roman" w:cs="Times New Roman"/>
          <w:b/>
          <w:bCs/>
          <w:color w:val="000000" w:themeColor="text1"/>
          <w:sz w:val="28"/>
          <w:szCs w:val="28"/>
        </w:rPr>
        <w:t>o</w:t>
      </w:r>
      <w:r w:rsidR="00AC29ED" w:rsidRPr="00CC1EA8">
        <w:rPr>
          <w:rFonts w:ascii="Times New Roman" w:eastAsiaTheme="minorHAnsi" w:hAnsi="Times New Roman" w:cs="Times New Roman"/>
          <w:b/>
          <w:bCs/>
          <w:color w:val="000000" w:themeColor="text1"/>
          <w:sz w:val="28"/>
          <w:szCs w:val="28"/>
        </w:rPr>
        <w:t xml:space="preserve">n, </w:t>
      </w:r>
      <w:r w:rsidR="007538AE" w:rsidRPr="00CC1EA8">
        <w:rPr>
          <w:rFonts w:ascii="Times New Roman" w:eastAsiaTheme="minorHAnsi" w:hAnsi="Times New Roman" w:cs="Times New Roman"/>
          <w:b/>
          <w:bCs/>
          <w:color w:val="000000" w:themeColor="text1"/>
          <w:sz w:val="28"/>
          <w:szCs w:val="28"/>
        </w:rPr>
        <w:t xml:space="preserve">the </w:t>
      </w:r>
      <w:r w:rsidR="00247055" w:rsidRPr="00CC1EA8">
        <w:rPr>
          <w:rFonts w:ascii="Times New Roman" w:eastAsiaTheme="minorHAnsi" w:hAnsi="Times New Roman" w:cs="Times New Roman"/>
          <w:b/>
          <w:bCs/>
          <w:color w:val="000000" w:themeColor="text1"/>
          <w:sz w:val="28"/>
          <w:szCs w:val="28"/>
        </w:rPr>
        <w:t>exclusion</w:t>
      </w:r>
      <w:r w:rsidR="007538AE" w:rsidRPr="00CC1EA8">
        <w:rPr>
          <w:rFonts w:ascii="Times New Roman" w:eastAsiaTheme="minorHAnsi" w:hAnsi="Times New Roman" w:cs="Times New Roman"/>
          <w:b/>
          <w:bCs/>
          <w:color w:val="000000" w:themeColor="text1"/>
          <w:sz w:val="28"/>
          <w:szCs w:val="28"/>
        </w:rPr>
        <w:t xml:space="preserve"> of a first-time in-court identification pursuant to </w:t>
      </w:r>
      <w:r w:rsidR="00546B5C" w:rsidRPr="00CC1EA8">
        <w:rPr>
          <w:rFonts w:ascii="Times New Roman" w:eastAsiaTheme="minorHAnsi" w:hAnsi="Times New Roman" w:cs="Times New Roman"/>
          <w:b/>
          <w:bCs/>
          <w:color w:val="000000" w:themeColor="text1"/>
          <w:sz w:val="28"/>
          <w:szCs w:val="28"/>
        </w:rPr>
        <w:t xml:space="preserve">the criteria set forth in </w:t>
      </w:r>
      <w:r w:rsidR="007538AE" w:rsidRPr="00CC1EA8">
        <w:rPr>
          <w:rFonts w:ascii="Times New Roman" w:eastAsiaTheme="minorHAnsi" w:hAnsi="Times New Roman" w:cs="Times New Roman"/>
          <w:b/>
          <w:bCs/>
          <w:color w:val="000000" w:themeColor="text1"/>
          <w:sz w:val="28"/>
          <w:szCs w:val="28"/>
        </w:rPr>
        <w:t>Guide to N</w:t>
      </w:r>
      <w:r w:rsidR="003E0C73" w:rsidRPr="00CC1EA8">
        <w:rPr>
          <w:rFonts w:ascii="Times New Roman" w:eastAsiaTheme="minorHAnsi" w:hAnsi="Times New Roman" w:cs="Times New Roman"/>
          <w:b/>
          <w:bCs/>
          <w:color w:val="000000" w:themeColor="text1"/>
          <w:sz w:val="28"/>
          <w:szCs w:val="28"/>
        </w:rPr>
        <w:t xml:space="preserve">ew </w:t>
      </w:r>
      <w:r w:rsidR="007538AE" w:rsidRPr="00CC1EA8">
        <w:rPr>
          <w:rFonts w:ascii="Times New Roman" w:eastAsiaTheme="minorHAnsi" w:hAnsi="Times New Roman" w:cs="Times New Roman"/>
          <w:b/>
          <w:bCs/>
          <w:color w:val="000000" w:themeColor="text1"/>
          <w:sz w:val="28"/>
          <w:szCs w:val="28"/>
        </w:rPr>
        <w:t>Y</w:t>
      </w:r>
      <w:r w:rsidR="003E0C73" w:rsidRPr="00CC1EA8">
        <w:rPr>
          <w:rFonts w:ascii="Times New Roman" w:eastAsiaTheme="minorHAnsi" w:hAnsi="Times New Roman" w:cs="Times New Roman"/>
          <w:b/>
          <w:bCs/>
          <w:color w:val="000000" w:themeColor="text1"/>
          <w:sz w:val="28"/>
          <w:szCs w:val="28"/>
        </w:rPr>
        <w:t>ork</w:t>
      </w:r>
      <w:r w:rsidR="007538AE" w:rsidRPr="00CC1EA8">
        <w:rPr>
          <w:rFonts w:ascii="Times New Roman" w:eastAsiaTheme="minorHAnsi" w:hAnsi="Times New Roman" w:cs="Times New Roman"/>
          <w:b/>
          <w:bCs/>
          <w:color w:val="000000" w:themeColor="text1"/>
          <w:sz w:val="28"/>
          <w:szCs w:val="28"/>
        </w:rPr>
        <w:t xml:space="preserve"> Evidence rule 4.06</w:t>
      </w:r>
      <w:r w:rsidR="001564C4" w:rsidRPr="00CC1EA8">
        <w:rPr>
          <w:rFonts w:ascii="Times New Roman" w:eastAsiaTheme="minorHAnsi" w:hAnsi="Times New Roman" w:cs="Times New Roman"/>
          <w:b/>
          <w:bCs/>
          <w:color w:val="000000" w:themeColor="text1"/>
          <w:sz w:val="28"/>
          <w:szCs w:val="28"/>
        </w:rPr>
        <w:t xml:space="preserve">, </w:t>
      </w:r>
      <w:r w:rsidR="0079772F" w:rsidRPr="00CC1EA8">
        <w:rPr>
          <w:rFonts w:ascii="Times New Roman" w:eastAsiaTheme="minorHAnsi" w:hAnsi="Times New Roman" w:cs="Times New Roman"/>
          <w:b/>
          <w:bCs/>
          <w:sz w:val="28"/>
          <w:szCs w:val="28"/>
        </w:rPr>
        <w:t>and upon</w:t>
      </w:r>
      <w:r w:rsidR="00531EE0" w:rsidRPr="00CC1EA8">
        <w:rPr>
          <w:rFonts w:ascii="Times New Roman" w:eastAsiaTheme="minorHAnsi" w:hAnsi="Times New Roman" w:cs="Times New Roman"/>
          <w:b/>
          <w:bCs/>
          <w:sz w:val="28"/>
          <w:szCs w:val="28"/>
        </w:rPr>
        <w:t xml:space="preserve"> consideration of </w:t>
      </w:r>
      <w:r w:rsidR="004573D5">
        <w:rPr>
          <w:rFonts w:ascii="Times New Roman" w:eastAsiaTheme="minorHAnsi" w:hAnsi="Times New Roman" w:cs="Times New Roman"/>
          <w:b/>
          <w:bCs/>
          <w:sz w:val="28"/>
          <w:szCs w:val="28"/>
        </w:rPr>
        <w:t>“</w:t>
      </w:r>
      <w:r w:rsidR="00630D9E" w:rsidRPr="00CC1EA8">
        <w:rPr>
          <w:rFonts w:ascii="Times New Roman" w:eastAsiaTheme="minorHAnsi" w:hAnsi="Times New Roman" w:cs="Times New Roman"/>
          <w:b/>
          <w:bCs/>
          <w:sz w:val="28"/>
          <w:szCs w:val="28"/>
        </w:rPr>
        <w:t>the danger of misidentification from the suggestiveness of a first-time, in-court identification, and whether there are independent assurances of the identification</w:t>
      </w:r>
      <w:r w:rsidR="009A314A">
        <w:rPr>
          <w:rFonts w:ascii="Times New Roman" w:eastAsiaTheme="minorHAnsi" w:hAnsi="Times New Roman" w:cs="Times New Roman"/>
          <w:b/>
          <w:bCs/>
          <w:sz w:val="28"/>
          <w:szCs w:val="28"/>
        </w:rPr>
        <w:t>’</w:t>
      </w:r>
      <w:r w:rsidR="00630D9E" w:rsidRPr="00CC1EA8">
        <w:rPr>
          <w:rFonts w:ascii="Times New Roman" w:eastAsiaTheme="minorHAnsi" w:hAnsi="Times New Roman" w:cs="Times New Roman"/>
          <w:b/>
          <w:bCs/>
          <w:sz w:val="28"/>
          <w:szCs w:val="28"/>
        </w:rPr>
        <w:t>s reliability that outweigh this risk.</w:t>
      </w:r>
      <w:r w:rsidR="00B45CD5" w:rsidRPr="00CC1EA8">
        <w:rPr>
          <w:rFonts w:ascii="Times New Roman" w:eastAsiaTheme="minorHAnsi" w:hAnsi="Times New Roman" w:cs="Times New Roman"/>
          <w:b/>
          <w:bCs/>
          <w:sz w:val="28"/>
          <w:szCs w:val="28"/>
        </w:rPr>
        <w:t>”</w:t>
      </w:r>
    </w:p>
    <w:p w14:paraId="085B3DD3" w14:textId="77777777" w:rsidR="00C06950" w:rsidRPr="00250B00" w:rsidRDefault="00C06950" w:rsidP="00CC1EA8">
      <w:pPr>
        <w:spacing w:after="0" w:line="240" w:lineRule="auto"/>
        <w:contextualSpacing/>
        <w:rPr>
          <w:rFonts w:ascii="Times New Roman" w:eastAsiaTheme="minorHAnsi" w:hAnsi="Times New Roman" w:cs="Times New Roman"/>
          <w:sz w:val="24"/>
          <w:szCs w:val="24"/>
        </w:rPr>
      </w:pPr>
    </w:p>
    <w:p w14:paraId="002C6161" w14:textId="77777777" w:rsidR="00C06950" w:rsidRPr="00CC1EA8" w:rsidRDefault="00C06950" w:rsidP="00CC1EA8">
      <w:pPr>
        <w:spacing w:after="0" w:line="240" w:lineRule="auto"/>
        <w:jc w:val="center"/>
        <w:rPr>
          <w:rFonts w:ascii="Times New Roman" w:hAnsi="Times New Roman" w:cs="Times New Roman"/>
          <w:b/>
          <w:bCs/>
          <w:color w:val="000000"/>
          <w:sz w:val="24"/>
          <w:szCs w:val="24"/>
        </w:rPr>
      </w:pPr>
      <w:r w:rsidRPr="00CC1EA8">
        <w:rPr>
          <w:rFonts w:ascii="Times New Roman" w:hAnsi="Times New Roman" w:cs="Times New Roman"/>
          <w:b/>
          <w:bCs/>
          <w:color w:val="000000"/>
          <w:sz w:val="24"/>
          <w:szCs w:val="24"/>
        </w:rPr>
        <w:t>Note</w:t>
      </w:r>
    </w:p>
    <w:p w14:paraId="44983116" w14:textId="77777777" w:rsidR="00C06950" w:rsidRPr="00CC1EA8" w:rsidRDefault="00C06950" w:rsidP="00CC1EA8">
      <w:pPr>
        <w:spacing w:after="0" w:line="240" w:lineRule="auto"/>
        <w:jc w:val="both"/>
        <w:rPr>
          <w:rFonts w:ascii="Times New Roman" w:hAnsi="Times New Roman" w:cs="Times New Roman"/>
          <w:color w:val="000000"/>
          <w:sz w:val="24"/>
          <w:szCs w:val="24"/>
        </w:rPr>
      </w:pPr>
    </w:p>
    <w:p w14:paraId="528E2FD1" w14:textId="5E8C69AF" w:rsidR="009C4F14" w:rsidRPr="00CC1EA8" w:rsidRDefault="00C06950" w:rsidP="009E42B6">
      <w:pPr>
        <w:shd w:val="clear" w:color="auto" w:fill="FFFFFF"/>
        <w:spacing w:after="0" w:line="240" w:lineRule="auto"/>
        <w:ind w:firstLine="720"/>
        <w:jc w:val="both"/>
        <w:rPr>
          <w:rFonts w:ascii="Times New Roman" w:eastAsia="Times New Roman" w:hAnsi="Times New Roman" w:cs="Times New Roman"/>
          <w:color w:val="000000"/>
          <w:kern w:val="0"/>
          <w:sz w:val="24"/>
          <w:szCs w:val="24"/>
          <w14:ligatures w14:val="none"/>
        </w:rPr>
      </w:pPr>
      <w:r w:rsidRPr="00CC1EA8">
        <w:rPr>
          <w:rFonts w:ascii="Times New Roman" w:hAnsi="Times New Roman" w:cs="Times New Roman"/>
          <w:color w:val="000000"/>
          <w:sz w:val="24"/>
          <w:szCs w:val="24"/>
        </w:rPr>
        <w:t xml:space="preserve">This rule is derived from </w:t>
      </w:r>
      <w:r w:rsidR="009C4F14" w:rsidRPr="00CC1EA8">
        <w:rPr>
          <w:rFonts w:ascii="Times New Roman" w:hAnsi="Times New Roman" w:cs="Times New Roman"/>
          <w:color w:val="000000"/>
          <w:sz w:val="24"/>
          <w:szCs w:val="24"/>
        </w:rPr>
        <w:t xml:space="preserve">the Court of Appeals opinion in </w:t>
      </w:r>
      <w:r w:rsidR="002F7048" w:rsidRPr="00CC1EA8">
        <w:rPr>
          <w:rFonts w:ascii="Times New Roman" w:eastAsia="Times New Roman" w:hAnsi="Times New Roman" w:cs="Times New Roman"/>
          <w:i/>
          <w:iCs/>
          <w:color w:val="000000"/>
          <w:kern w:val="0"/>
          <w:sz w:val="24"/>
          <w:szCs w:val="24"/>
          <w14:ligatures w14:val="none"/>
        </w:rPr>
        <w:t>People v Perdue</w:t>
      </w:r>
      <w:r w:rsidR="00E07889">
        <w:rPr>
          <w:rFonts w:ascii="Times New Roman" w:eastAsia="Times New Roman" w:hAnsi="Times New Roman" w:cs="Times New Roman"/>
          <w:i/>
          <w:iCs/>
          <w:color w:val="000000"/>
          <w:kern w:val="0"/>
          <w:sz w:val="24"/>
          <w:szCs w:val="24"/>
          <w14:ligatures w14:val="none"/>
        </w:rPr>
        <w:t xml:space="preserve">, </w:t>
      </w:r>
      <w:r w:rsidR="005F0E6F" w:rsidRPr="005F0E6F">
        <w:rPr>
          <w:rFonts w:ascii="Times New Roman" w:eastAsia="Times New Roman" w:hAnsi="Times New Roman" w:cs="Times New Roman"/>
          <w:color w:val="000000"/>
          <w:kern w:val="0"/>
          <w:sz w:val="24"/>
          <w:szCs w:val="24"/>
          <w14:ligatures w14:val="none"/>
        </w:rPr>
        <w:t>41 N.Y.3d 245</w:t>
      </w:r>
      <w:r w:rsidR="005F0E6F">
        <w:rPr>
          <w:rFonts w:ascii="Times New Roman" w:eastAsia="Times New Roman" w:hAnsi="Times New Roman" w:cs="Times New Roman"/>
          <w:color w:val="000000"/>
          <w:kern w:val="0"/>
          <w:sz w:val="24"/>
          <w:szCs w:val="24"/>
          <w14:ligatures w14:val="none"/>
        </w:rPr>
        <w:t xml:space="preserve"> </w:t>
      </w:r>
      <w:r w:rsidR="002F7048" w:rsidRPr="00CC1EA8">
        <w:rPr>
          <w:rFonts w:ascii="Times New Roman" w:eastAsia="Times New Roman" w:hAnsi="Times New Roman" w:cs="Times New Roman"/>
          <w:color w:val="000000"/>
          <w:kern w:val="0"/>
          <w:sz w:val="24"/>
          <w:szCs w:val="24"/>
          <w14:ligatures w14:val="none"/>
        </w:rPr>
        <w:t>[2023]</w:t>
      </w:r>
      <w:r w:rsidR="00C36C72" w:rsidRPr="00CC1EA8">
        <w:rPr>
          <w:rFonts w:ascii="Times New Roman" w:eastAsia="Times New Roman" w:hAnsi="Times New Roman" w:cs="Times New Roman"/>
          <w:color w:val="000000"/>
          <w:kern w:val="0"/>
          <w:sz w:val="24"/>
          <w:szCs w:val="24"/>
          <w14:ligatures w14:val="none"/>
        </w:rPr>
        <w:t>)</w:t>
      </w:r>
      <w:r w:rsidR="000D5123" w:rsidRPr="00CC1EA8">
        <w:rPr>
          <w:rFonts w:ascii="Times New Roman" w:eastAsia="Times New Roman" w:hAnsi="Times New Roman" w:cs="Times New Roman"/>
          <w:color w:val="000000"/>
          <w:kern w:val="0"/>
          <w:sz w:val="24"/>
          <w:szCs w:val="24"/>
          <w14:ligatures w14:val="none"/>
        </w:rPr>
        <w:t>.</w:t>
      </w:r>
      <w:r w:rsidR="00C36C72" w:rsidRPr="00CC1EA8">
        <w:rPr>
          <w:rFonts w:ascii="Times New Roman" w:eastAsia="Times New Roman" w:hAnsi="Times New Roman" w:cs="Times New Roman"/>
          <w:color w:val="000000"/>
          <w:kern w:val="0"/>
          <w:sz w:val="24"/>
          <w:szCs w:val="24"/>
          <w14:ligatures w14:val="none"/>
        </w:rPr>
        <w:t xml:space="preserve"> </w:t>
      </w:r>
      <w:r w:rsidR="009C4F14" w:rsidRPr="00CC1EA8">
        <w:rPr>
          <w:rFonts w:ascii="Times New Roman" w:hAnsi="Times New Roman" w:cs="Times New Roman"/>
          <w:color w:val="000000"/>
          <w:sz w:val="24"/>
          <w:szCs w:val="24"/>
        </w:rPr>
        <w:t xml:space="preserve">Pertinent excerpts from the </w:t>
      </w:r>
      <w:r w:rsidR="009C4F14" w:rsidRPr="00CC1EA8">
        <w:rPr>
          <w:rFonts w:ascii="Times New Roman" w:hAnsi="Times New Roman" w:cs="Times New Roman"/>
          <w:i/>
          <w:iCs/>
          <w:color w:val="000000"/>
          <w:sz w:val="24"/>
          <w:szCs w:val="24"/>
        </w:rPr>
        <w:t>Perdue</w:t>
      </w:r>
      <w:r w:rsidR="009C4F14" w:rsidRPr="00CC1EA8">
        <w:rPr>
          <w:rFonts w:ascii="Times New Roman" w:hAnsi="Times New Roman" w:cs="Times New Roman"/>
          <w:color w:val="000000"/>
          <w:sz w:val="24"/>
          <w:szCs w:val="24"/>
        </w:rPr>
        <w:t xml:space="preserve"> opinion </w:t>
      </w:r>
      <w:r w:rsidR="009D7200" w:rsidRPr="00CC1EA8">
        <w:rPr>
          <w:rFonts w:ascii="Times New Roman" w:hAnsi="Times New Roman" w:cs="Times New Roman"/>
          <w:color w:val="000000"/>
          <w:sz w:val="24"/>
          <w:szCs w:val="24"/>
        </w:rPr>
        <w:t>include</w:t>
      </w:r>
      <w:r w:rsidR="009C4F14" w:rsidRPr="00CC1EA8">
        <w:rPr>
          <w:rFonts w:ascii="Times New Roman" w:hAnsi="Times New Roman" w:cs="Times New Roman"/>
          <w:color w:val="000000"/>
          <w:sz w:val="24"/>
          <w:szCs w:val="24"/>
        </w:rPr>
        <w:t>:</w:t>
      </w:r>
    </w:p>
    <w:p w14:paraId="675BFEF1" w14:textId="77777777" w:rsidR="00C06950" w:rsidRPr="00CC1EA8" w:rsidRDefault="00C06950" w:rsidP="00CC1EA8">
      <w:pPr>
        <w:spacing w:after="0" w:line="240" w:lineRule="auto"/>
        <w:jc w:val="both"/>
        <w:rPr>
          <w:rFonts w:ascii="Times New Roman" w:hAnsi="Times New Roman" w:cs="Times New Roman"/>
          <w:color w:val="000000"/>
          <w:sz w:val="24"/>
          <w:szCs w:val="24"/>
        </w:rPr>
      </w:pPr>
    </w:p>
    <w:p w14:paraId="2EC85540" w14:textId="20195D34" w:rsidR="00AE312A" w:rsidRPr="00CC1EA8" w:rsidRDefault="00BC67C8" w:rsidP="00CC1EA8">
      <w:pPr>
        <w:spacing w:after="0" w:line="240" w:lineRule="auto"/>
        <w:ind w:left="720" w:right="720"/>
        <w:jc w:val="both"/>
        <w:rPr>
          <w:rFonts w:ascii="Times New Roman" w:hAnsi="Times New Roman" w:cs="Times New Roman"/>
          <w:sz w:val="24"/>
          <w:szCs w:val="24"/>
        </w:rPr>
      </w:pPr>
      <w:r w:rsidRPr="00CC1EA8">
        <w:rPr>
          <w:rFonts w:ascii="Times New Roman" w:hAnsi="Times New Roman" w:cs="Times New Roman"/>
          <w:color w:val="000000"/>
          <w:sz w:val="24"/>
          <w:szCs w:val="24"/>
        </w:rPr>
        <w:t>“</w:t>
      </w:r>
      <w:r w:rsidR="00AE312A" w:rsidRPr="00CC1EA8">
        <w:rPr>
          <w:rFonts w:ascii="Times New Roman" w:hAnsi="Times New Roman" w:cs="Times New Roman"/>
          <w:color w:val="000000"/>
          <w:sz w:val="24"/>
          <w:szCs w:val="24"/>
        </w:rPr>
        <w:t>We hold that, when the People call a witness who may make a first-time, in-court identification, they must ensure that the defendant is aware of that possibility as early as practicable so that the defendant has a meaningful opportunity to request alternative identification procedures. If the defendant explicitly requests such procedures, a trial court may exercise its discretion to fashion any measures necessary to reduce the risk of misidentification. The ultimate determination of whether to admit a first-time, in-court identification, like any evidence, rests within the evidentiary gatekeeping discretion of the trial court. The court must balance the probative value of the identification against the dangers of misidentification and other prejudice to the defendant.</w:t>
      </w:r>
      <w:r w:rsidRPr="00CC1EA8">
        <w:rPr>
          <w:rFonts w:ascii="Times New Roman" w:hAnsi="Times New Roman" w:cs="Times New Roman"/>
          <w:color w:val="000000"/>
          <w:sz w:val="24"/>
          <w:szCs w:val="24"/>
        </w:rPr>
        <w:t xml:space="preserve"> . . . </w:t>
      </w:r>
    </w:p>
    <w:p w14:paraId="44580B23" w14:textId="77777777" w:rsidR="00E14EAE" w:rsidRPr="00CC1EA8" w:rsidRDefault="00E14EAE" w:rsidP="00CC1EA8">
      <w:pPr>
        <w:spacing w:after="0" w:line="240" w:lineRule="auto"/>
        <w:ind w:right="720"/>
        <w:rPr>
          <w:rFonts w:ascii="Times New Roman" w:hAnsi="Times New Roman" w:cs="Times New Roman"/>
          <w:sz w:val="24"/>
          <w:szCs w:val="24"/>
        </w:rPr>
      </w:pPr>
    </w:p>
    <w:p w14:paraId="2B810FE2" w14:textId="3C19DC03" w:rsidR="006B6F46" w:rsidRDefault="00BC67C8" w:rsidP="00CC1EA8">
      <w:pPr>
        <w:pStyle w:val="ListParagraph"/>
        <w:spacing w:after="0" w:line="240" w:lineRule="auto"/>
        <w:ind w:left="576" w:right="720"/>
        <w:jc w:val="both"/>
        <w:rPr>
          <w:rFonts w:ascii="Times New Roman" w:hAnsi="Times New Roman" w:cs="Times New Roman"/>
          <w:color w:val="000000"/>
          <w:sz w:val="24"/>
          <w:szCs w:val="24"/>
        </w:rPr>
      </w:pPr>
      <w:r w:rsidRPr="00CC1EA8">
        <w:rPr>
          <w:rFonts w:ascii="Times New Roman" w:hAnsi="Times New Roman" w:cs="Times New Roman"/>
          <w:color w:val="000000"/>
          <w:sz w:val="24"/>
          <w:szCs w:val="24"/>
        </w:rPr>
        <w:t>“</w:t>
      </w:r>
      <w:r w:rsidR="00E14EAE" w:rsidRPr="00CC1EA8">
        <w:rPr>
          <w:rFonts w:ascii="Times New Roman" w:hAnsi="Times New Roman" w:cs="Times New Roman"/>
          <w:color w:val="000000"/>
          <w:sz w:val="24"/>
          <w:szCs w:val="24"/>
        </w:rPr>
        <w:t xml:space="preserve">Thus, to counteract the heightened risk of misidentification in the first-time, in-court identification context, defendants should be </w:t>
      </w:r>
      <w:r w:rsidR="00E14EAE" w:rsidRPr="00CC1EA8">
        <w:rPr>
          <w:rFonts w:ascii="Times New Roman" w:hAnsi="Times New Roman" w:cs="Times New Roman"/>
          <w:color w:val="000000"/>
          <w:sz w:val="24"/>
          <w:szCs w:val="24"/>
        </w:rPr>
        <w:lastRenderedPageBreak/>
        <w:t>afforded a meaningful opportunity to request additional procedures that would (1) demonstrate the reliability of a subsequent in-court identification</w:t>
      </w:r>
      <w:r w:rsidRPr="00CC1EA8">
        <w:rPr>
          <w:rFonts w:ascii="Times New Roman" w:hAnsi="Times New Roman" w:cs="Times New Roman"/>
          <w:color w:val="000000"/>
          <w:sz w:val="24"/>
          <w:szCs w:val="24"/>
        </w:rPr>
        <w:t>—</w:t>
      </w:r>
      <w:r w:rsidR="00E14EAE" w:rsidRPr="00CC1EA8">
        <w:rPr>
          <w:rFonts w:ascii="Times New Roman" w:hAnsi="Times New Roman" w:cs="Times New Roman"/>
          <w:color w:val="000000"/>
          <w:sz w:val="24"/>
          <w:szCs w:val="24"/>
        </w:rPr>
        <w:t>such as granting an adjournment for a non-suggestive identification procedure to test the witness</w:t>
      </w:r>
      <w:r w:rsidR="009A314A">
        <w:rPr>
          <w:rFonts w:ascii="Times New Roman" w:hAnsi="Times New Roman" w:cs="Times New Roman"/>
          <w:color w:val="000000"/>
          <w:sz w:val="24"/>
          <w:szCs w:val="24"/>
        </w:rPr>
        <w:t>’</w:t>
      </w:r>
      <w:r w:rsidR="00E14EAE" w:rsidRPr="00CC1EA8">
        <w:rPr>
          <w:rFonts w:ascii="Times New Roman" w:hAnsi="Times New Roman" w:cs="Times New Roman"/>
          <w:color w:val="000000"/>
          <w:sz w:val="24"/>
          <w:szCs w:val="24"/>
        </w:rPr>
        <w:t>s identificatio</w:t>
      </w:r>
      <w:r w:rsidR="006B6F46" w:rsidRPr="00CC1EA8">
        <w:rPr>
          <w:rFonts w:ascii="Times New Roman" w:hAnsi="Times New Roman" w:cs="Times New Roman"/>
          <w:color w:val="000000"/>
          <w:sz w:val="24"/>
          <w:szCs w:val="24"/>
        </w:rPr>
        <w:t>n</w:t>
      </w:r>
      <w:r w:rsidRPr="00CC1EA8">
        <w:rPr>
          <w:rFonts w:ascii="Times New Roman" w:hAnsi="Times New Roman" w:cs="Times New Roman"/>
          <w:color w:val="000000"/>
          <w:sz w:val="24"/>
          <w:szCs w:val="24"/>
        </w:rPr>
        <w:t>—</w:t>
      </w:r>
      <w:r w:rsidR="00E14EAE" w:rsidRPr="00CC1EA8">
        <w:rPr>
          <w:rFonts w:ascii="Times New Roman" w:hAnsi="Times New Roman" w:cs="Times New Roman"/>
          <w:color w:val="000000"/>
          <w:sz w:val="24"/>
          <w:szCs w:val="24"/>
        </w:rPr>
        <w:t>or (2) reduce the suggestiveness of the in-court identification procedure itself</w:t>
      </w:r>
      <w:r w:rsidR="00E4075F" w:rsidRPr="00CC1EA8">
        <w:rPr>
          <w:rFonts w:ascii="Times New Roman" w:hAnsi="Times New Roman" w:cs="Times New Roman"/>
          <w:color w:val="000000"/>
          <w:sz w:val="24"/>
          <w:szCs w:val="24"/>
        </w:rPr>
        <w:t xml:space="preserve">. </w:t>
      </w:r>
      <w:r w:rsidRPr="00CC1EA8">
        <w:rPr>
          <w:rFonts w:ascii="Times New Roman" w:hAnsi="Times New Roman" w:cs="Times New Roman"/>
          <w:color w:val="000000"/>
          <w:sz w:val="24"/>
          <w:szCs w:val="24"/>
        </w:rPr>
        <w:t xml:space="preserve">. . . </w:t>
      </w:r>
    </w:p>
    <w:p w14:paraId="582EE553" w14:textId="77777777" w:rsidR="008C1414" w:rsidRPr="008C1414" w:rsidRDefault="008C1414" w:rsidP="008C1414">
      <w:pPr>
        <w:spacing w:after="0" w:line="240" w:lineRule="auto"/>
        <w:ind w:right="720"/>
        <w:jc w:val="both"/>
        <w:rPr>
          <w:rFonts w:ascii="Times New Roman" w:hAnsi="Times New Roman" w:cs="Times New Roman"/>
          <w:sz w:val="24"/>
          <w:szCs w:val="24"/>
        </w:rPr>
      </w:pPr>
    </w:p>
    <w:p w14:paraId="369575D5" w14:textId="467B00E6" w:rsidR="00663A90" w:rsidRPr="00CC1EA8" w:rsidRDefault="00BC67C8" w:rsidP="00CC1EA8">
      <w:pPr>
        <w:spacing w:after="0" w:line="240" w:lineRule="auto"/>
        <w:ind w:left="576" w:right="720"/>
        <w:jc w:val="both"/>
        <w:rPr>
          <w:rFonts w:ascii="Times New Roman" w:hAnsi="Times New Roman" w:cs="Times New Roman"/>
          <w:sz w:val="24"/>
          <w:szCs w:val="24"/>
        </w:rPr>
      </w:pPr>
      <w:r w:rsidRPr="00CC1EA8">
        <w:rPr>
          <w:rFonts w:ascii="Times New Roman" w:hAnsi="Times New Roman" w:cs="Times New Roman"/>
          <w:color w:val="000000"/>
          <w:sz w:val="24"/>
          <w:szCs w:val="24"/>
        </w:rPr>
        <w:t>“</w:t>
      </w:r>
      <w:r w:rsidR="00663A90" w:rsidRPr="00CC1EA8">
        <w:rPr>
          <w:rFonts w:ascii="Times New Roman" w:hAnsi="Times New Roman" w:cs="Times New Roman"/>
          <w:color w:val="000000"/>
          <w:sz w:val="24"/>
          <w:szCs w:val="24"/>
        </w:rPr>
        <w:t>We emphasize that the court</w:t>
      </w:r>
      <w:r w:rsidR="009A314A">
        <w:rPr>
          <w:rFonts w:ascii="Times New Roman" w:hAnsi="Times New Roman" w:cs="Times New Roman"/>
          <w:color w:val="000000"/>
          <w:sz w:val="24"/>
          <w:szCs w:val="24"/>
        </w:rPr>
        <w:t>’</w:t>
      </w:r>
      <w:r w:rsidR="00663A90" w:rsidRPr="00CC1EA8">
        <w:rPr>
          <w:rFonts w:ascii="Times New Roman" w:hAnsi="Times New Roman" w:cs="Times New Roman"/>
          <w:color w:val="000000"/>
          <w:sz w:val="24"/>
          <w:szCs w:val="24"/>
        </w:rPr>
        <w:t>s obligation to take any action regarding a first-time, in-court identification is dependent upon a timely request made by the defendant, as the defendant may not wish to seek protective measures that would bolster or draw further attention to the identification.</w:t>
      </w:r>
      <w:r w:rsidRPr="00CC1EA8">
        <w:rPr>
          <w:rFonts w:ascii="Times New Roman" w:hAnsi="Times New Roman" w:cs="Times New Roman"/>
          <w:color w:val="000000"/>
          <w:sz w:val="24"/>
          <w:szCs w:val="24"/>
        </w:rPr>
        <w:t xml:space="preserve"> . . . </w:t>
      </w:r>
    </w:p>
    <w:p w14:paraId="08765DCF" w14:textId="77777777" w:rsidR="00C74552" w:rsidRPr="008C1414" w:rsidRDefault="00C74552" w:rsidP="008C1414">
      <w:pPr>
        <w:spacing w:after="0" w:line="240" w:lineRule="auto"/>
        <w:ind w:right="720"/>
        <w:jc w:val="both"/>
        <w:rPr>
          <w:rFonts w:ascii="Times New Roman" w:hAnsi="Times New Roman" w:cs="Times New Roman"/>
          <w:sz w:val="24"/>
          <w:szCs w:val="24"/>
        </w:rPr>
      </w:pPr>
    </w:p>
    <w:p w14:paraId="2AA787EF" w14:textId="77777777" w:rsidR="00BC67C8" w:rsidRPr="00CC1EA8" w:rsidRDefault="00BC67C8" w:rsidP="00CC1EA8">
      <w:pPr>
        <w:spacing w:after="0" w:line="240" w:lineRule="auto"/>
        <w:ind w:left="576" w:right="720"/>
        <w:jc w:val="both"/>
        <w:rPr>
          <w:rFonts w:ascii="Times New Roman" w:hAnsi="Times New Roman" w:cs="Times New Roman"/>
          <w:color w:val="000000"/>
          <w:sz w:val="24"/>
          <w:szCs w:val="24"/>
        </w:rPr>
      </w:pPr>
      <w:r w:rsidRPr="00CC1EA8">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 xml:space="preserve">Trial courts may </w:t>
      </w:r>
      <w:r w:rsidRPr="00CC1EA8">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exclude relevant evidence if its probative value is outweighed by the prospect of trial delay, undue prejudice to the opposing party, confusing the issues[,] or misleading the jury</w:t>
      </w:r>
      <w:r w:rsidRPr="00CC1EA8">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 xml:space="preserve"> (</w:t>
      </w:r>
      <w:hyperlink r:id="rId8" w:anchor="co_pp_sp_605_355">
        <w:r w:rsidR="00C74552" w:rsidRPr="00CC1EA8">
          <w:rPr>
            <w:rFonts w:ascii="Times New Roman" w:hAnsi="Times New Roman" w:cs="Times New Roman"/>
            <w:i/>
            <w:color w:val="000000"/>
            <w:sz w:val="24"/>
            <w:szCs w:val="24"/>
          </w:rPr>
          <w:t>People v Primo</w:t>
        </w:r>
        <w:r w:rsidR="00C74552" w:rsidRPr="00CC1EA8">
          <w:rPr>
            <w:rFonts w:ascii="Times New Roman" w:hAnsi="Times New Roman" w:cs="Times New Roman"/>
            <w:color w:val="000000"/>
            <w:sz w:val="24"/>
            <w:szCs w:val="24"/>
          </w:rPr>
          <w:t>, 96 NY2d 351, 355 [2001]</w:t>
        </w:r>
      </w:hyperlink>
      <w:r w:rsidR="00C74552" w:rsidRPr="00CC1EA8">
        <w:rPr>
          <w:rFonts w:ascii="Times New Roman" w:hAnsi="Times New Roman" w:cs="Times New Roman"/>
          <w:color w:val="000000"/>
          <w:sz w:val="24"/>
          <w:szCs w:val="24"/>
        </w:rPr>
        <w:t xml:space="preserve">). </w:t>
      </w:r>
      <w:r w:rsidRPr="00CC1EA8">
        <w:rPr>
          <w:rFonts w:ascii="Times New Roman" w:hAnsi="Times New Roman" w:cs="Times New Roman"/>
          <w:color w:val="000000"/>
          <w:sz w:val="24"/>
          <w:szCs w:val="24"/>
        </w:rPr>
        <w:t xml:space="preserve">. . . </w:t>
      </w:r>
      <w:bookmarkStart w:id="0" w:name="_Hlk160750740"/>
    </w:p>
    <w:p w14:paraId="19B74128" w14:textId="77777777" w:rsidR="00BC67C8" w:rsidRPr="00CC1EA8" w:rsidRDefault="00BC67C8" w:rsidP="008C1414">
      <w:pPr>
        <w:spacing w:after="0" w:line="240" w:lineRule="auto"/>
        <w:ind w:right="720"/>
        <w:jc w:val="both"/>
        <w:rPr>
          <w:rFonts w:ascii="Times New Roman" w:hAnsi="Times New Roman" w:cs="Times New Roman"/>
          <w:color w:val="000000"/>
          <w:sz w:val="24"/>
          <w:szCs w:val="24"/>
        </w:rPr>
      </w:pPr>
    </w:p>
    <w:p w14:paraId="65B9DC2E" w14:textId="70D27558" w:rsidR="00C74552" w:rsidRPr="00CC1EA8" w:rsidRDefault="00BC67C8" w:rsidP="00CC1EA8">
      <w:pPr>
        <w:spacing w:after="0" w:line="240" w:lineRule="auto"/>
        <w:ind w:left="576" w:right="720"/>
        <w:jc w:val="both"/>
        <w:rPr>
          <w:rFonts w:ascii="Times New Roman" w:hAnsi="Times New Roman" w:cs="Times New Roman"/>
          <w:sz w:val="24"/>
          <w:szCs w:val="24"/>
        </w:rPr>
      </w:pPr>
      <w:r w:rsidRPr="00CC1EA8">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In exercising this discretion in the context of a first-time, in-court identification, the court must consider the danger of misidentification from the suggestiveness of a first-time, in-court identification, and whether there are independent assurances of the identification</w:t>
      </w:r>
      <w:r w:rsidR="009A314A">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 xml:space="preserve">s reliability that outweigh this risk. </w:t>
      </w:r>
      <w:bookmarkEnd w:id="0"/>
      <w:r w:rsidR="00C74552" w:rsidRPr="00CC1EA8">
        <w:rPr>
          <w:rFonts w:ascii="Times New Roman" w:hAnsi="Times New Roman" w:cs="Times New Roman"/>
          <w:color w:val="000000"/>
          <w:sz w:val="24"/>
          <w:szCs w:val="24"/>
        </w:rPr>
        <w:t>Such considerations may include: the witness</w:t>
      </w:r>
      <w:r w:rsidR="009A314A">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s familiarity with the defendant, the quality of the witness</w:t>
      </w:r>
      <w:r w:rsidR="009A314A">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s opportunity to observe the defendant before the incident in question, the witness</w:t>
      </w:r>
      <w:r w:rsidR="009A314A">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s ability to provide accurate descriptive details regarding the defendant, the time between the crime and the testimony, and whether there is other, reliable trial evidence corroborating the identification. In evaluating the danger of misidentification, the court may also take into</w:t>
      </w:r>
      <w:r w:rsidRPr="00CC1EA8">
        <w:rPr>
          <w:rFonts w:ascii="Times New Roman" w:hAnsi="Times New Roman" w:cs="Times New Roman"/>
          <w:color w:val="000000"/>
          <w:sz w:val="24"/>
          <w:szCs w:val="24"/>
        </w:rPr>
        <w:t xml:space="preserve"> </w:t>
      </w:r>
      <w:r w:rsidR="00C74552" w:rsidRPr="00CC1EA8">
        <w:rPr>
          <w:rFonts w:ascii="Times New Roman" w:hAnsi="Times New Roman" w:cs="Times New Roman"/>
          <w:color w:val="000000"/>
          <w:sz w:val="24"/>
          <w:szCs w:val="24"/>
        </w:rPr>
        <w:t>account the suggestiveness of the in-court identification procedure itself</w:t>
      </w:r>
      <w:r w:rsidRPr="00CC1EA8">
        <w:rPr>
          <w:rFonts w:ascii="Times New Roman" w:hAnsi="Times New Roman" w:cs="Times New Roman"/>
          <w:color w:val="000000"/>
          <w:sz w:val="24"/>
          <w:szCs w:val="24"/>
        </w:rPr>
        <w:t xml:space="preserve">. </w:t>
      </w:r>
    </w:p>
    <w:p w14:paraId="2640CE25" w14:textId="39CD4640" w:rsidR="00C74552" w:rsidRPr="00CC1EA8" w:rsidRDefault="00C74552" w:rsidP="008C1414">
      <w:pPr>
        <w:spacing w:after="0" w:line="240" w:lineRule="auto"/>
        <w:ind w:right="720"/>
        <w:jc w:val="both"/>
        <w:rPr>
          <w:rFonts w:ascii="Times New Roman" w:hAnsi="Times New Roman" w:cs="Times New Roman"/>
          <w:sz w:val="24"/>
          <w:szCs w:val="24"/>
        </w:rPr>
      </w:pPr>
    </w:p>
    <w:p w14:paraId="1F311778" w14:textId="76623C33" w:rsidR="00C74552" w:rsidRPr="00CC1EA8" w:rsidRDefault="00BC67C8" w:rsidP="00CC1EA8">
      <w:pPr>
        <w:spacing w:after="0" w:line="240" w:lineRule="auto"/>
        <w:ind w:left="576" w:right="720"/>
        <w:jc w:val="both"/>
        <w:rPr>
          <w:rFonts w:ascii="Times New Roman" w:hAnsi="Times New Roman" w:cs="Times New Roman"/>
          <w:sz w:val="24"/>
          <w:szCs w:val="24"/>
        </w:rPr>
      </w:pPr>
      <w:r w:rsidRPr="00CC1EA8">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 xml:space="preserve">When a defendant is not given advance notice of the identification, the trial court may also consider whether there was any reason for the failure to provide notice and the extent to which it has prejudiced the defendant. In general, to limit the risk that a trial court will exclude an identification for lack of notice, the People should provide explicit notice at the earliest possible juncture. </w:t>
      </w:r>
      <w:r w:rsidRPr="00CC1EA8">
        <w:rPr>
          <w:rFonts w:ascii="Times New Roman" w:hAnsi="Times New Roman" w:cs="Times New Roman"/>
          <w:color w:val="000000"/>
          <w:sz w:val="24"/>
          <w:szCs w:val="24"/>
        </w:rPr>
        <w:t xml:space="preserve">. . . </w:t>
      </w:r>
      <w:r w:rsidR="00C74552" w:rsidRPr="00CC1EA8">
        <w:rPr>
          <w:rFonts w:ascii="Times New Roman" w:hAnsi="Times New Roman" w:cs="Times New Roman"/>
          <w:color w:val="000000"/>
          <w:sz w:val="24"/>
          <w:szCs w:val="24"/>
        </w:rPr>
        <w:t>We acknowledge, though, that situations may arise where the People, through no fault of their own, are not themselves aware of a witness</w:t>
      </w:r>
      <w:r w:rsidR="002577E7">
        <w:rPr>
          <w:rFonts w:ascii="Times New Roman" w:hAnsi="Times New Roman" w:cs="Times New Roman"/>
          <w:color w:val="000000"/>
          <w:sz w:val="24"/>
          <w:szCs w:val="24"/>
        </w:rPr>
        <w:t>’</w:t>
      </w:r>
      <w:r w:rsidR="00C74552" w:rsidRPr="00CC1EA8">
        <w:rPr>
          <w:rFonts w:ascii="Times New Roman" w:hAnsi="Times New Roman" w:cs="Times New Roman"/>
          <w:color w:val="000000"/>
          <w:sz w:val="24"/>
          <w:szCs w:val="24"/>
        </w:rPr>
        <w:t xml:space="preserve">s ability or willingness to make an identification during </w:t>
      </w:r>
      <w:r w:rsidR="002F23D0" w:rsidRPr="00CC1EA8">
        <w:rPr>
          <w:rFonts w:ascii="Times New Roman" w:hAnsi="Times New Roman" w:cs="Times New Roman"/>
          <w:color w:val="000000"/>
          <w:sz w:val="24"/>
          <w:szCs w:val="24"/>
        </w:rPr>
        <w:t xml:space="preserve">their </w:t>
      </w:r>
      <w:r w:rsidR="00C74552" w:rsidRPr="00CC1EA8">
        <w:rPr>
          <w:rFonts w:ascii="Times New Roman" w:hAnsi="Times New Roman" w:cs="Times New Roman"/>
          <w:color w:val="000000"/>
          <w:sz w:val="24"/>
          <w:szCs w:val="24"/>
        </w:rPr>
        <w:t>trial testimony. Trial courts must assess how to proceed in such scenarios on a case-by-case basis</w:t>
      </w:r>
      <w:r w:rsidR="002F23D0" w:rsidRPr="00CC1EA8">
        <w:rPr>
          <w:rFonts w:ascii="Times New Roman" w:hAnsi="Times New Roman" w:cs="Times New Roman"/>
          <w:color w:val="000000"/>
          <w:sz w:val="24"/>
          <w:szCs w:val="24"/>
        </w:rPr>
        <w:t xml:space="preserve">” </w:t>
      </w:r>
      <w:r w:rsidRPr="00CC1EA8">
        <w:rPr>
          <w:rFonts w:ascii="Times New Roman" w:hAnsi="Times New Roman" w:cs="Times New Roman"/>
          <w:color w:val="000000"/>
          <w:sz w:val="24"/>
          <w:szCs w:val="24"/>
        </w:rPr>
        <w:t>(</w:t>
      </w:r>
      <w:r w:rsidR="005C1B6B">
        <w:rPr>
          <w:rFonts w:ascii="Times New Roman" w:hAnsi="Times New Roman" w:cs="Times New Roman"/>
          <w:color w:val="000000"/>
          <w:sz w:val="24"/>
          <w:szCs w:val="24"/>
        </w:rPr>
        <w:t xml:space="preserve">41 </w:t>
      </w:r>
      <w:r w:rsidR="002F23D0" w:rsidRPr="00CC1EA8">
        <w:rPr>
          <w:rFonts w:ascii="Times New Roman" w:hAnsi="Times New Roman" w:cs="Times New Roman"/>
          <w:color w:val="000000"/>
          <w:sz w:val="24"/>
          <w:szCs w:val="24"/>
        </w:rPr>
        <w:t xml:space="preserve">NY3d at </w:t>
      </w:r>
      <w:r w:rsidR="00A02EDE">
        <w:rPr>
          <w:rFonts w:ascii="Times New Roman" w:hAnsi="Times New Roman" w:cs="Times New Roman"/>
          <w:color w:val="000000"/>
          <w:sz w:val="24"/>
          <w:szCs w:val="24"/>
        </w:rPr>
        <w:t>247-</w:t>
      </w:r>
      <w:r w:rsidR="00796C9C">
        <w:rPr>
          <w:rFonts w:ascii="Times New Roman" w:hAnsi="Times New Roman" w:cs="Times New Roman"/>
          <w:color w:val="000000"/>
          <w:sz w:val="24"/>
          <w:szCs w:val="24"/>
        </w:rPr>
        <w:t>253</w:t>
      </w:r>
      <w:r w:rsidR="00FF7F7A">
        <w:rPr>
          <w:rFonts w:ascii="Times New Roman" w:hAnsi="Times New Roman" w:cs="Times New Roman"/>
          <w:color w:val="000000"/>
          <w:sz w:val="24"/>
          <w:szCs w:val="24"/>
        </w:rPr>
        <w:t xml:space="preserve"> </w:t>
      </w:r>
      <w:r w:rsidRPr="00CC1EA8">
        <w:rPr>
          <w:rFonts w:ascii="Times New Roman" w:hAnsi="Times New Roman" w:cs="Times New Roman"/>
          <w:color w:val="000000"/>
          <w:sz w:val="24"/>
          <w:szCs w:val="24"/>
        </w:rPr>
        <w:t>[citations omitted]).</w:t>
      </w:r>
    </w:p>
    <w:p w14:paraId="62F1DFF1" w14:textId="77777777" w:rsidR="00C74552" w:rsidRPr="008C1414" w:rsidRDefault="00C74552" w:rsidP="008C1414">
      <w:pPr>
        <w:spacing w:after="0" w:line="240" w:lineRule="auto"/>
        <w:ind w:right="720"/>
        <w:jc w:val="both"/>
        <w:rPr>
          <w:rFonts w:ascii="Times New Roman" w:hAnsi="Times New Roman" w:cs="Times New Roman"/>
          <w:sz w:val="24"/>
          <w:szCs w:val="24"/>
        </w:rPr>
      </w:pPr>
    </w:p>
    <w:sectPr w:rsidR="00C74552" w:rsidRPr="008C1414" w:rsidSect="00DD5C93">
      <w:footerReference w:type="default" r:id="rId9"/>
      <w:type w:val="continuous"/>
      <w:pgSz w:w="12240" w:h="15840" w:code="1"/>
      <w:pgMar w:top="1440" w:right="2160" w:bottom="1440" w:left="2160" w:header="99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BA8E" w14:textId="77777777" w:rsidR="00DD5C93" w:rsidRDefault="00DD5C93" w:rsidP="002A2B5B">
      <w:pPr>
        <w:spacing w:after="0" w:line="240" w:lineRule="auto"/>
      </w:pPr>
      <w:r>
        <w:separator/>
      </w:r>
    </w:p>
  </w:endnote>
  <w:endnote w:type="continuationSeparator" w:id="0">
    <w:p w14:paraId="233A5087" w14:textId="77777777" w:rsidR="00DD5C93" w:rsidRDefault="00DD5C93" w:rsidP="002A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532951"/>
      <w:docPartObj>
        <w:docPartGallery w:val="Page Numbers (Bottom of Page)"/>
        <w:docPartUnique/>
      </w:docPartObj>
    </w:sdtPr>
    <w:sdtEndPr>
      <w:rPr>
        <w:noProof/>
      </w:rPr>
    </w:sdtEndPr>
    <w:sdtContent>
      <w:p w14:paraId="3F2027D0" w14:textId="11C7DDDF" w:rsidR="00CC1EA8" w:rsidRDefault="00CC1E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9BB4F" w14:textId="77777777" w:rsidR="00CC1EA8" w:rsidRDefault="00CC1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203A" w14:textId="77777777" w:rsidR="00DD5C93" w:rsidRDefault="00DD5C93" w:rsidP="002A2B5B">
      <w:pPr>
        <w:spacing w:after="0" w:line="240" w:lineRule="auto"/>
      </w:pPr>
      <w:r>
        <w:separator/>
      </w:r>
    </w:p>
  </w:footnote>
  <w:footnote w:type="continuationSeparator" w:id="0">
    <w:p w14:paraId="1E39BE0F" w14:textId="77777777" w:rsidR="00DD5C93" w:rsidRDefault="00DD5C93" w:rsidP="002A2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7BD"/>
    <w:multiLevelType w:val="hybridMultilevel"/>
    <w:tmpl w:val="238885AC"/>
    <w:lvl w:ilvl="0" w:tplc="D1DA256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2567D"/>
    <w:multiLevelType w:val="hybridMultilevel"/>
    <w:tmpl w:val="6070FFE2"/>
    <w:lvl w:ilvl="0" w:tplc="71E6E0B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96B4D"/>
    <w:multiLevelType w:val="hybridMultilevel"/>
    <w:tmpl w:val="7E26F9DE"/>
    <w:lvl w:ilvl="0" w:tplc="EB4E9AF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23782"/>
    <w:multiLevelType w:val="hybridMultilevel"/>
    <w:tmpl w:val="E32A4BEC"/>
    <w:lvl w:ilvl="0" w:tplc="9566EAF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E582E"/>
    <w:multiLevelType w:val="hybridMultilevel"/>
    <w:tmpl w:val="D0E4654A"/>
    <w:lvl w:ilvl="0" w:tplc="7ABCFEA0">
      <w:start w:val="1"/>
      <w:numFmt w:val="decimal"/>
      <w:lvlText w:val="(%1)"/>
      <w:lvlJc w:val="left"/>
      <w:pPr>
        <w:ind w:left="720" w:hanging="360"/>
      </w:pPr>
      <w:rPr>
        <w:rFonts w:eastAsia="Times New Roman" w:hint="default"/>
        <w:color w:val="0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9598C"/>
    <w:multiLevelType w:val="multilevel"/>
    <w:tmpl w:val="30E895A8"/>
    <w:lvl w:ilvl="0">
      <w:start w:val="4"/>
      <w:numFmt w:val="decimal"/>
      <w:lvlText w:val="%1"/>
      <w:lvlJc w:val="left"/>
      <w:pPr>
        <w:ind w:left="750" w:hanging="750"/>
      </w:pPr>
      <w:rPr>
        <w:rFonts w:hint="default"/>
      </w:rPr>
    </w:lvl>
    <w:lvl w:ilvl="1">
      <w:start w:val="35"/>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4569134">
    <w:abstractNumId w:val="0"/>
  </w:num>
  <w:num w:numId="2" w16cid:durableId="382679451">
    <w:abstractNumId w:val="1"/>
  </w:num>
  <w:num w:numId="3" w16cid:durableId="26224685">
    <w:abstractNumId w:val="2"/>
  </w:num>
  <w:num w:numId="4" w16cid:durableId="593511600">
    <w:abstractNumId w:val="3"/>
  </w:num>
  <w:num w:numId="5" w16cid:durableId="1276982079">
    <w:abstractNumId w:val="4"/>
  </w:num>
  <w:num w:numId="6" w16cid:durableId="1597441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12A"/>
    <w:rsid w:val="00000439"/>
    <w:rsid w:val="00027E82"/>
    <w:rsid w:val="000342B8"/>
    <w:rsid w:val="000473EC"/>
    <w:rsid w:val="00080240"/>
    <w:rsid w:val="000D5123"/>
    <w:rsid w:val="00107997"/>
    <w:rsid w:val="001564C4"/>
    <w:rsid w:val="001726F1"/>
    <w:rsid w:val="00191932"/>
    <w:rsid w:val="0022525A"/>
    <w:rsid w:val="00231E68"/>
    <w:rsid w:val="00247055"/>
    <w:rsid w:val="00250B00"/>
    <w:rsid w:val="00254815"/>
    <w:rsid w:val="002577E7"/>
    <w:rsid w:val="00271926"/>
    <w:rsid w:val="002A2B5B"/>
    <w:rsid w:val="002A308A"/>
    <w:rsid w:val="002F23D0"/>
    <w:rsid w:val="002F7048"/>
    <w:rsid w:val="003035A9"/>
    <w:rsid w:val="003325A1"/>
    <w:rsid w:val="003A4F5F"/>
    <w:rsid w:val="003B3A8B"/>
    <w:rsid w:val="003B64E1"/>
    <w:rsid w:val="003C29FA"/>
    <w:rsid w:val="003E0C73"/>
    <w:rsid w:val="003E296C"/>
    <w:rsid w:val="003F2394"/>
    <w:rsid w:val="00432AB0"/>
    <w:rsid w:val="004573D5"/>
    <w:rsid w:val="004653BB"/>
    <w:rsid w:val="004846AD"/>
    <w:rsid w:val="004B183C"/>
    <w:rsid w:val="00531EE0"/>
    <w:rsid w:val="00546B5C"/>
    <w:rsid w:val="005567FE"/>
    <w:rsid w:val="00570E4B"/>
    <w:rsid w:val="005C1B6B"/>
    <w:rsid w:val="005D4F10"/>
    <w:rsid w:val="005F0E6F"/>
    <w:rsid w:val="00624647"/>
    <w:rsid w:val="00630D9E"/>
    <w:rsid w:val="0064449E"/>
    <w:rsid w:val="00663A90"/>
    <w:rsid w:val="00695BE3"/>
    <w:rsid w:val="006B63FB"/>
    <w:rsid w:val="006B6F46"/>
    <w:rsid w:val="006B7884"/>
    <w:rsid w:val="006C54AB"/>
    <w:rsid w:val="006D3D1C"/>
    <w:rsid w:val="006F6B73"/>
    <w:rsid w:val="007367BC"/>
    <w:rsid w:val="007538AE"/>
    <w:rsid w:val="00767F98"/>
    <w:rsid w:val="00796C9C"/>
    <w:rsid w:val="0079772F"/>
    <w:rsid w:val="0087558A"/>
    <w:rsid w:val="008766C5"/>
    <w:rsid w:val="008853C2"/>
    <w:rsid w:val="008868AF"/>
    <w:rsid w:val="008A0431"/>
    <w:rsid w:val="008C1414"/>
    <w:rsid w:val="008F4156"/>
    <w:rsid w:val="009117E4"/>
    <w:rsid w:val="009A314A"/>
    <w:rsid w:val="009C4F14"/>
    <w:rsid w:val="009D7200"/>
    <w:rsid w:val="009E42B6"/>
    <w:rsid w:val="009E6219"/>
    <w:rsid w:val="00A02EDE"/>
    <w:rsid w:val="00A36CAA"/>
    <w:rsid w:val="00A55D92"/>
    <w:rsid w:val="00A649A0"/>
    <w:rsid w:val="00AC29ED"/>
    <w:rsid w:val="00AD48FC"/>
    <w:rsid w:val="00AE19B6"/>
    <w:rsid w:val="00AE312A"/>
    <w:rsid w:val="00B07891"/>
    <w:rsid w:val="00B45CD5"/>
    <w:rsid w:val="00B62B71"/>
    <w:rsid w:val="00B75088"/>
    <w:rsid w:val="00B85D07"/>
    <w:rsid w:val="00BC67C8"/>
    <w:rsid w:val="00C06950"/>
    <w:rsid w:val="00C2014C"/>
    <w:rsid w:val="00C24AB2"/>
    <w:rsid w:val="00C36C72"/>
    <w:rsid w:val="00C74552"/>
    <w:rsid w:val="00CC1EA8"/>
    <w:rsid w:val="00CE102D"/>
    <w:rsid w:val="00D42294"/>
    <w:rsid w:val="00D4693B"/>
    <w:rsid w:val="00D5350E"/>
    <w:rsid w:val="00D61C8F"/>
    <w:rsid w:val="00DA14DB"/>
    <w:rsid w:val="00DA29A5"/>
    <w:rsid w:val="00DD5C93"/>
    <w:rsid w:val="00E02CC1"/>
    <w:rsid w:val="00E07889"/>
    <w:rsid w:val="00E14619"/>
    <w:rsid w:val="00E14EAE"/>
    <w:rsid w:val="00E31DAF"/>
    <w:rsid w:val="00E4075F"/>
    <w:rsid w:val="00E60AD2"/>
    <w:rsid w:val="00E97CAC"/>
    <w:rsid w:val="00F21E47"/>
    <w:rsid w:val="00F56DCA"/>
    <w:rsid w:val="00F91CFA"/>
    <w:rsid w:val="00FE6BE5"/>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B272"/>
  <w15:chartTrackingRefBased/>
  <w15:docId w15:val="{36AD1CB6-27CB-41A9-964C-DE105751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2A"/>
    <w:pPr>
      <w:spacing w:after="160" w:line="259" w:lineRule="auto"/>
      <w:jc w:val="left"/>
    </w:pPr>
    <w:rPr>
      <w:rFonts w:asciiTheme="minorHAnsi" w:eastAsiaTheme="minorEastAsia"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style>
  <w:style w:type="paragraph" w:styleId="ListParagraph">
    <w:name w:val="List Paragraph"/>
    <w:basedOn w:val="Normal"/>
    <w:uiPriority w:val="34"/>
    <w:qFormat/>
    <w:rsid w:val="00AE312A"/>
    <w:pPr>
      <w:ind w:left="720"/>
      <w:contextualSpacing/>
    </w:pPr>
  </w:style>
  <w:style w:type="character" w:styleId="CommentReference">
    <w:name w:val="annotation reference"/>
    <w:basedOn w:val="DefaultParagraphFont"/>
    <w:uiPriority w:val="99"/>
    <w:semiHidden/>
    <w:unhideWhenUsed/>
    <w:rsid w:val="003F2394"/>
    <w:rPr>
      <w:sz w:val="16"/>
      <w:szCs w:val="16"/>
    </w:rPr>
  </w:style>
  <w:style w:type="paragraph" w:styleId="CommentText">
    <w:name w:val="annotation text"/>
    <w:basedOn w:val="Normal"/>
    <w:link w:val="CommentTextChar"/>
    <w:uiPriority w:val="99"/>
    <w:unhideWhenUsed/>
    <w:rsid w:val="003F2394"/>
    <w:pPr>
      <w:spacing w:line="240" w:lineRule="auto"/>
    </w:pPr>
    <w:rPr>
      <w:sz w:val="20"/>
      <w:szCs w:val="20"/>
    </w:rPr>
  </w:style>
  <w:style w:type="character" w:customStyle="1" w:styleId="CommentTextChar">
    <w:name w:val="Comment Text Char"/>
    <w:basedOn w:val="DefaultParagraphFont"/>
    <w:link w:val="CommentText"/>
    <w:uiPriority w:val="99"/>
    <w:rsid w:val="003F2394"/>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F2394"/>
    <w:rPr>
      <w:b/>
      <w:bCs/>
    </w:rPr>
  </w:style>
  <w:style w:type="character" w:customStyle="1" w:styleId="CommentSubjectChar">
    <w:name w:val="Comment Subject Char"/>
    <w:basedOn w:val="CommentTextChar"/>
    <w:link w:val="CommentSubject"/>
    <w:uiPriority w:val="99"/>
    <w:semiHidden/>
    <w:rsid w:val="003F2394"/>
    <w:rPr>
      <w:rFonts w:asciiTheme="minorHAnsi" w:eastAsiaTheme="minorEastAsia"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11472">
      <w:bodyDiv w:val="1"/>
      <w:marLeft w:val="0"/>
      <w:marRight w:val="0"/>
      <w:marTop w:val="0"/>
      <w:marBottom w:val="0"/>
      <w:divBdr>
        <w:top w:val="none" w:sz="0" w:space="0" w:color="auto"/>
        <w:left w:val="none" w:sz="0" w:space="0" w:color="auto"/>
        <w:bottom w:val="none" w:sz="0" w:space="0" w:color="auto"/>
        <w:right w:val="none" w:sz="0" w:space="0" w:color="auto"/>
      </w:divBdr>
      <w:divsChild>
        <w:div w:id="2094162346">
          <w:marLeft w:val="0"/>
          <w:marRight w:val="0"/>
          <w:marTop w:val="0"/>
          <w:marBottom w:val="0"/>
          <w:divBdr>
            <w:top w:val="none" w:sz="0" w:space="0" w:color="3D3D3D"/>
            <w:left w:val="none" w:sz="0" w:space="0" w:color="3D3D3D"/>
            <w:bottom w:val="none" w:sz="0" w:space="0" w:color="3D3D3D"/>
            <w:right w:val="none" w:sz="0" w:space="0" w:color="3D3D3D"/>
          </w:divBdr>
        </w:div>
      </w:divsChild>
    </w:div>
    <w:div w:id="1796867710">
      <w:bodyDiv w:val="1"/>
      <w:marLeft w:val="0"/>
      <w:marRight w:val="0"/>
      <w:marTop w:val="0"/>
      <w:marBottom w:val="0"/>
      <w:divBdr>
        <w:top w:val="none" w:sz="0" w:space="0" w:color="auto"/>
        <w:left w:val="none" w:sz="0" w:space="0" w:color="auto"/>
        <w:bottom w:val="none" w:sz="0" w:space="0" w:color="auto"/>
        <w:right w:val="none" w:sz="0" w:space="0" w:color="auto"/>
      </w:divBdr>
      <w:divsChild>
        <w:div w:id="1259606824">
          <w:marLeft w:val="0"/>
          <w:marRight w:val="0"/>
          <w:marTop w:val="0"/>
          <w:marBottom w:val="0"/>
          <w:divBdr>
            <w:top w:val="none" w:sz="0" w:space="0" w:color="auto"/>
            <w:left w:val="none" w:sz="0" w:space="0" w:color="auto"/>
            <w:bottom w:val="none" w:sz="0" w:space="0" w:color="auto"/>
            <w:right w:val="none" w:sz="0" w:space="0" w:color="auto"/>
          </w:divBdr>
          <w:divsChild>
            <w:div w:id="1741823710">
              <w:marLeft w:val="0"/>
              <w:marRight w:val="0"/>
              <w:marTop w:val="0"/>
              <w:marBottom w:val="0"/>
              <w:divBdr>
                <w:top w:val="none" w:sz="0" w:space="0" w:color="auto"/>
                <w:left w:val="none" w:sz="0" w:space="0" w:color="auto"/>
                <w:bottom w:val="none" w:sz="0" w:space="0" w:color="auto"/>
                <w:right w:val="none" w:sz="0" w:space="0" w:color="auto"/>
              </w:divBdr>
              <w:divsChild>
                <w:div w:id="8038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56795">
      <w:bodyDiv w:val="1"/>
      <w:marLeft w:val="0"/>
      <w:marRight w:val="0"/>
      <w:marTop w:val="0"/>
      <w:marBottom w:val="0"/>
      <w:divBdr>
        <w:top w:val="none" w:sz="0" w:space="0" w:color="auto"/>
        <w:left w:val="none" w:sz="0" w:space="0" w:color="auto"/>
        <w:bottom w:val="none" w:sz="0" w:space="0" w:color="auto"/>
        <w:right w:val="none" w:sz="0" w:space="0" w:color="auto"/>
      </w:divBdr>
      <w:divsChild>
        <w:div w:id="240523422">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Link/Document/FullText?findType=Y&amp;pubNum=0000605&amp;cite=96NY2D351&amp;originatingDoc=I765804109a8d11ee944f8f9fa2e89e29&amp;refType=RP&amp;fi=co_pp_sp_605_355&amp;originationContext=document&amp;vr=3.0&amp;rs=cblt1.0&amp;transitionType=DocumentItem&amp;contextData=(sc.UserEnteredCit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C386-005F-430D-BFDD-6F889C70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799</Words>
  <Characters>4103</Characters>
  <Application>Microsoft Office Word</Application>
  <DocSecurity>0</DocSecurity>
  <Lines>87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50</cp:revision>
  <cp:lastPrinted>2024-03-18T14:37:00Z</cp:lastPrinted>
  <dcterms:created xsi:type="dcterms:W3CDTF">2024-01-08T21:46:00Z</dcterms:created>
  <dcterms:modified xsi:type="dcterms:W3CDTF">2025-02-03T05:25:00Z</dcterms:modified>
</cp:coreProperties>
</file>