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3D3F" w14:textId="5F618521" w:rsidR="009E6821" w:rsidRPr="00F67028" w:rsidRDefault="009E6821"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r w:rsidRPr="00F67028">
        <w:rPr>
          <w:sz w:val="28"/>
          <w:szCs w:val="28"/>
          <w:lang w:val="en-CA"/>
        </w:rPr>
        <w:fldChar w:fldCharType="begin"/>
      </w:r>
      <w:r w:rsidRPr="00F67028">
        <w:rPr>
          <w:sz w:val="28"/>
          <w:szCs w:val="28"/>
          <w:lang w:val="en-CA"/>
        </w:rPr>
        <w:instrText xml:space="preserve"> SEQ CHAPTER \h \r 1</w:instrText>
      </w:r>
      <w:r w:rsidRPr="00F67028">
        <w:rPr>
          <w:sz w:val="28"/>
          <w:szCs w:val="28"/>
          <w:lang w:val="en-CA"/>
        </w:rPr>
        <w:fldChar w:fldCharType="end"/>
      </w:r>
      <w:r w:rsidRPr="00F67028">
        <w:rPr>
          <w:b/>
          <w:bCs/>
          <w:sz w:val="28"/>
          <w:szCs w:val="28"/>
        </w:rPr>
        <w:t>6.11 Impeachment</w:t>
      </w:r>
      <w:r w:rsidR="00280EE1" w:rsidRPr="00F67028">
        <w:rPr>
          <w:b/>
          <w:bCs/>
          <w:sz w:val="28"/>
          <w:szCs w:val="28"/>
        </w:rPr>
        <w:t xml:space="preserve">, </w:t>
      </w:r>
      <w:r w:rsidR="00C70F7A" w:rsidRPr="00F67028">
        <w:rPr>
          <w:b/>
          <w:bCs/>
          <w:sz w:val="28"/>
          <w:szCs w:val="28"/>
        </w:rPr>
        <w:t xml:space="preserve">When Authorized </w:t>
      </w:r>
      <w:r w:rsidR="00A95ED0" w:rsidRPr="00F67028">
        <w:rPr>
          <w:b/>
          <w:bCs/>
          <w:sz w:val="28"/>
          <w:szCs w:val="28"/>
        </w:rPr>
        <w:t>and</w:t>
      </w:r>
      <w:r w:rsidR="00C70F7A" w:rsidRPr="00F67028">
        <w:rPr>
          <w:b/>
          <w:bCs/>
          <w:sz w:val="28"/>
          <w:szCs w:val="28"/>
        </w:rPr>
        <w:t xml:space="preserve"> Provable </w:t>
      </w:r>
      <w:r w:rsidR="00A95ED0" w:rsidRPr="00F67028">
        <w:rPr>
          <w:b/>
          <w:bCs/>
          <w:sz w:val="28"/>
          <w:szCs w:val="28"/>
        </w:rPr>
        <w:t>b</w:t>
      </w:r>
      <w:r w:rsidR="00C70F7A" w:rsidRPr="00F67028">
        <w:rPr>
          <w:b/>
          <w:bCs/>
          <w:sz w:val="28"/>
          <w:szCs w:val="28"/>
        </w:rPr>
        <w:t xml:space="preserve">y Extrinsic </w:t>
      </w:r>
      <w:r w:rsidR="000E6F1C" w:rsidRPr="00F67028">
        <w:rPr>
          <w:b/>
          <w:bCs/>
          <w:sz w:val="28"/>
          <w:szCs w:val="28"/>
        </w:rPr>
        <w:t>Evidence</w:t>
      </w:r>
      <w:r w:rsidR="00E37641" w:rsidRPr="00F67028">
        <w:rPr>
          <w:rStyle w:val="EndnoteReference"/>
          <w:b/>
          <w:bCs/>
          <w:sz w:val="28"/>
          <w:szCs w:val="28"/>
        </w:rPr>
        <w:endnoteReference w:id="2"/>
      </w:r>
    </w:p>
    <w:p w14:paraId="7D3047E4" w14:textId="77777777" w:rsidR="00C65916" w:rsidRPr="00F67028" w:rsidRDefault="00C65916"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p>
    <w:p w14:paraId="4042E3E6" w14:textId="77777777" w:rsidR="009E6821" w:rsidRPr="00F67028" w:rsidRDefault="009E6821" w:rsidP="00C8233B">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b/>
          <w:bCs/>
          <w:sz w:val="28"/>
          <w:szCs w:val="28"/>
        </w:rPr>
      </w:pPr>
      <w:r w:rsidRPr="00F67028">
        <w:rPr>
          <w:b/>
          <w:bCs/>
          <w:sz w:val="28"/>
          <w:szCs w:val="28"/>
        </w:rPr>
        <w:t>(1) The credibility of a witness may be impeached by evidence that has a tendency in reason to discredit the truthfulness or accuracy of the witness’s testimony.</w:t>
      </w:r>
    </w:p>
    <w:p w14:paraId="612DCD7D" w14:textId="77777777" w:rsidR="00C65916" w:rsidRPr="00F67028" w:rsidRDefault="00C65916" w:rsidP="00301474">
      <w:pPr>
        <w:widowControl/>
        <w:tabs>
          <w:tab w:val="left" w:pos="720"/>
          <w:tab w:val="left" w:pos="1440"/>
          <w:tab w:val="left" w:pos="2160"/>
          <w:tab w:val="left" w:pos="2880"/>
          <w:tab w:val="left" w:pos="3600"/>
          <w:tab w:val="left" w:pos="4320"/>
          <w:tab w:val="left" w:pos="5040"/>
          <w:tab w:val="left" w:pos="5760"/>
          <w:tab w:val="left" w:pos="6480"/>
          <w:tab w:val="left" w:pos="7198"/>
        </w:tabs>
        <w:ind w:right="720"/>
        <w:jc w:val="both"/>
        <w:rPr>
          <w:b/>
          <w:bCs/>
          <w:sz w:val="28"/>
          <w:szCs w:val="28"/>
        </w:rPr>
      </w:pPr>
    </w:p>
    <w:p w14:paraId="03A39E0A" w14:textId="734D79AE" w:rsidR="00567EA0" w:rsidRPr="00F67028" w:rsidRDefault="009E6821" w:rsidP="006849AD">
      <w:pPr>
        <w:widowControl/>
        <w:snapToGrid w:val="0"/>
        <w:ind w:left="720" w:right="720"/>
        <w:jc w:val="both"/>
        <w:rPr>
          <w:b/>
          <w:bCs/>
          <w:sz w:val="28"/>
          <w:szCs w:val="28"/>
        </w:rPr>
      </w:pPr>
      <w:r w:rsidRPr="00F67028">
        <w:rPr>
          <w:b/>
          <w:bCs/>
          <w:sz w:val="28"/>
          <w:szCs w:val="28"/>
        </w:rPr>
        <w:t xml:space="preserve">(2) </w:t>
      </w:r>
      <w:r w:rsidR="008D6B12" w:rsidRPr="00F67028">
        <w:rPr>
          <w:b/>
          <w:bCs/>
          <w:sz w:val="28"/>
          <w:szCs w:val="28"/>
        </w:rPr>
        <w:t>(</w:t>
      </w:r>
      <w:r w:rsidR="00E87568" w:rsidRPr="00F67028">
        <w:rPr>
          <w:b/>
          <w:bCs/>
          <w:sz w:val="28"/>
          <w:szCs w:val="28"/>
        </w:rPr>
        <w:t xml:space="preserve">a) </w:t>
      </w:r>
      <w:r w:rsidRPr="00F67028">
        <w:rPr>
          <w:b/>
          <w:bCs/>
          <w:sz w:val="28"/>
          <w:szCs w:val="28"/>
        </w:rPr>
        <w:t>Evidence of impeachment may be used in</w:t>
      </w:r>
      <w:r w:rsidR="00301474" w:rsidRPr="00F67028">
        <w:rPr>
          <w:b/>
          <w:bCs/>
          <w:sz w:val="28"/>
          <w:szCs w:val="28"/>
        </w:rPr>
        <w:t xml:space="preserve"> </w:t>
      </w:r>
      <w:r w:rsidRPr="00F67028">
        <w:rPr>
          <w:b/>
          <w:bCs/>
          <w:sz w:val="28"/>
          <w:szCs w:val="28"/>
        </w:rPr>
        <w:t>the</w:t>
      </w:r>
      <w:r w:rsidR="00301474" w:rsidRPr="00F67028">
        <w:rPr>
          <w:b/>
          <w:bCs/>
          <w:sz w:val="28"/>
          <w:szCs w:val="28"/>
        </w:rPr>
        <w:t xml:space="preserve"> </w:t>
      </w:r>
      <w:r w:rsidRPr="00F67028">
        <w:rPr>
          <w:b/>
          <w:bCs/>
          <w:sz w:val="28"/>
          <w:szCs w:val="28"/>
        </w:rPr>
        <w:t>cross-examination of a witness</w:t>
      </w:r>
      <w:r w:rsidR="00D2677C" w:rsidRPr="00F67028">
        <w:rPr>
          <w:b/>
          <w:bCs/>
          <w:sz w:val="28"/>
          <w:szCs w:val="28"/>
        </w:rPr>
        <w:t xml:space="preserve">. </w:t>
      </w:r>
      <w:r w:rsidRPr="00F67028">
        <w:rPr>
          <w:b/>
          <w:bCs/>
          <w:sz w:val="28"/>
          <w:szCs w:val="28"/>
        </w:rPr>
        <w:t>The party examining the witness is bound by the witness’s answer unless the evidence of impeachment is not collateral.</w:t>
      </w:r>
    </w:p>
    <w:p w14:paraId="1436355B" w14:textId="77777777" w:rsidR="00567EA0" w:rsidRPr="00F67028" w:rsidRDefault="00567EA0" w:rsidP="00301474">
      <w:pPr>
        <w:widowControl/>
        <w:snapToGrid w:val="0"/>
        <w:ind w:right="720"/>
        <w:jc w:val="both"/>
        <w:rPr>
          <w:b/>
          <w:bCs/>
          <w:sz w:val="28"/>
          <w:szCs w:val="28"/>
        </w:rPr>
      </w:pPr>
    </w:p>
    <w:p w14:paraId="5A173F8A" w14:textId="6868DBD5" w:rsidR="000B527E" w:rsidRPr="00F67028" w:rsidRDefault="00567EA0" w:rsidP="005B64C5">
      <w:pPr>
        <w:widowControl/>
        <w:snapToGrid w:val="0"/>
        <w:ind w:left="720" w:right="720"/>
        <w:jc w:val="both"/>
        <w:rPr>
          <w:b/>
          <w:bCs/>
          <w:sz w:val="28"/>
          <w:szCs w:val="28"/>
        </w:rPr>
      </w:pPr>
      <w:r w:rsidRPr="00F67028">
        <w:rPr>
          <w:b/>
          <w:bCs/>
          <w:sz w:val="28"/>
          <w:szCs w:val="28"/>
        </w:rPr>
        <w:t xml:space="preserve">(b) </w:t>
      </w:r>
      <w:r w:rsidR="009E6821" w:rsidRPr="00F67028">
        <w:rPr>
          <w:b/>
          <w:bCs/>
          <w:sz w:val="28"/>
          <w:szCs w:val="28"/>
        </w:rPr>
        <w:t>Evidence is not collateral when it is directly relevant to one or more issues in the action, or to the capacity of the witness to testify pursuant to rule 6.01 (Competency</w:t>
      </w:r>
      <w:r w:rsidR="00DC4388" w:rsidRPr="00F67028">
        <w:rPr>
          <w:b/>
          <w:bCs/>
          <w:sz w:val="28"/>
          <w:szCs w:val="28"/>
        </w:rPr>
        <w:t xml:space="preserve"> of a Witness</w:t>
      </w:r>
      <w:r w:rsidR="009E6821" w:rsidRPr="00F67028">
        <w:rPr>
          <w:b/>
          <w:bCs/>
          <w:sz w:val="28"/>
          <w:szCs w:val="28"/>
        </w:rPr>
        <w:t xml:space="preserve"> to Testify) and rule 6.0</w:t>
      </w:r>
      <w:r w:rsidR="00AB4C0B" w:rsidRPr="00F67028">
        <w:rPr>
          <w:b/>
          <w:bCs/>
          <w:sz w:val="28"/>
          <w:szCs w:val="28"/>
        </w:rPr>
        <w:t>5</w:t>
      </w:r>
      <w:r w:rsidR="009E6821" w:rsidRPr="00F67028">
        <w:rPr>
          <w:b/>
          <w:bCs/>
          <w:sz w:val="28"/>
          <w:szCs w:val="28"/>
        </w:rPr>
        <w:t xml:space="preserve"> (Oath or Affirmation</w:t>
      </w:r>
      <w:r w:rsidR="009B1688" w:rsidRPr="00F67028">
        <w:rPr>
          <w:b/>
          <w:bCs/>
          <w:sz w:val="28"/>
          <w:szCs w:val="28"/>
        </w:rPr>
        <w:t xml:space="preserve"> for a Witness to Testify</w:t>
      </w:r>
      <w:r w:rsidR="009E6821" w:rsidRPr="00F67028">
        <w:rPr>
          <w:b/>
          <w:bCs/>
          <w:sz w:val="28"/>
          <w:szCs w:val="28"/>
        </w:rPr>
        <w:t>)</w:t>
      </w:r>
      <w:r w:rsidR="009743AF">
        <w:rPr>
          <w:b/>
          <w:bCs/>
          <w:sz w:val="28"/>
          <w:szCs w:val="28"/>
        </w:rPr>
        <w:t>;</w:t>
      </w:r>
      <w:r w:rsidR="009E6821" w:rsidRPr="00F67028">
        <w:rPr>
          <w:b/>
          <w:bCs/>
          <w:sz w:val="28"/>
          <w:szCs w:val="28"/>
        </w:rPr>
        <w:t xml:space="preserve"> or is evidence admissible pursuant to rule 6.13 (Impeachment by Bias, Hostility, Interest)</w:t>
      </w:r>
      <w:r w:rsidR="005C4B0D" w:rsidRPr="00F67028">
        <w:rPr>
          <w:b/>
          <w:bCs/>
          <w:sz w:val="28"/>
          <w:szCs w:val="28"/>
        </w:rPr>
        <w:t>,</w:t>
      </w:r>
      <w:r w:rsidR="009E6821" w:rsidRPr="00F67028">
        <w:rPr>
          <w:b/>
          <w:bCs/>
          <w:sz w:val="28"/>
          <w:szCs w:val="28"/>
        </w:rPr>
        <w:t xml:space="preserve"> rule 6.15 (Impeachment by Prior Inconsistent Statement)</w:t>
      </w:r>
      <w:r w:rsidR="005C4B0D" w:rsidRPr="00F67028">
        <w:rPr>
          <w:b/>
          <w:bCs/>
          <w:sz w:val="28"/>
          <w:szCs w:val="28"/>
        </w:rPr>
        <w:t>,</w:t>
      </w:r>
      <w:r w:rsidR="008F0C3F" w:rsidRPr="00F67028">
        <w:rPr>
          <w:b/>
          <w:bCs/>
          <w:sz w:val="28"/>
          <w:szCs w:val="28"/>
        </w:rPr>
        <w:t xml:space="preserve"> </w:t>
      </w:r>
      <w:r w:rsidR="0015311F">
        <w:rPr>
          <w:b/>
          <w:bCs/>
          <w:sz w:val="28"/>
          <w:szCs w:val="28"/>
        </w:rPr>
        <w:t xml:space="preserve">or </w:t>
      </w:r>
      <w:r w:rsidR="008F0C3F" w:rsidRPr="00F67028">
        <w:rPr>
          <w:b/>
          <w:bCs/>
          <w:sz w:val="28"/>
          <w:szCs w:val="28"/>
        </w:rPr>
        <w:t xml:space="preserve">rule </w:t>
      </w:r>
      <w:r w:rsidR="001E2963" w:rsidRPr="00F67028">
        <w:rPr>
          <w:b/>
          <w:bCs/>
          <w:sz w:val="28"/>
          <w:szCs w:val="28"/>
        </w:rPr>
        <w:t xml:space="preserve">6.20 </w:t>
      </w:r>
      <w:r w:rsidR="008F0C3F" w:rsidRPr="00F67028">
        <w:rPr>
          <w:b/>
          <w:bCs/>
          <w:sz w:val="28"/>
          <w:szCs w:val="28"/>
        </w:rPr>
        <w:t>(</w:t>
      </w:r>
      <w:r w:rsidR="001E2963" w:rsidRPr="00F67028">
        <w:rPr>
          <w:b/>
          <w:bCs/>
          <w:sz w:val="28"/>
          <w:szCs w:val="28"/>
        </w:rPr>
        <w:t>Impeachment by Recent Fabrication</w:t>
      </w:r>
      <w:r w:rsidR="008F0C3F" w:rsidRPr="00F67028">
        <w:rPr>
          <w:b/>
          <w:bCs/>
          <w:sz w:val="28"/>
          <w:szCs w:val="28"/>
        </w:rPr>
        <w:t>)</w:t>
      </w:r>
      <w:r w:rsidR="009743AF">
        <w:rPr>
          <w:b/>
          <w:bCs/>
          <w:sz w:val="28"/>
          <w:szCs w:val="28"/>
        </w:rPr>
        <w:t>;</w:t>
      </w:r>
      <w:r w:rsidR="005C4B0D" w:rsidRPr="00F67028">
        <w:rPr>
          <w:b/>
          <w:bCs/>
          <w:sz w:val="28"/>
          <w:szCs w:val="28"/>
        </w:rPr>
        <w:t xml:space="preserve"> or is otherwise </w:t>
      </w:r>
      <w:r w:rsidR="005C4B0D" w:rsidRPr="00F67028">
        <w:rPr>
          <w:rFonts w:eastAsia="Times New Roman"/>
          <w:b/>
          <w:bCs/>
          <w:sz w:val="28"/>
          <w:szCs w:val="28"/>
          <w:lang w:val="x-none"/>
        </w:rPr>
        <w:t xml:space="preserve">clearly probative of </w:t>
      </w:r>
      <w:r w:rsidR="008B10B2" w:rsidRPr="00F67028">
        <w:rPr>
          <w:rFonts w:eastAsia="Times New Roman"/>
          <w:b/>
          <w:bCs/>
          <w:sz w:val="28"/>
          <w:szCs w:val="28"/>
        </w:rPr>
        <w:t xml:space="preserve">a </w:t>
      </w:r>
      <w:r w:rsidR="005C4B0D" w:rsidRPr="00F67028">
        <w:rPr>
          <w:rFonts w:eastAsia="Times New Roman"/>
          <w:b/>
          <w:bCs/>
          <w:sz w:val="28"/>
          <w:szCs w:val="28"/>
          <w:lang w:val="x-none"/>
        </w:rPr>
        <w:t>witness</w:t>
      </w:r>
      <w:r w:rsidR="00B05E83" w:rsidRPr="00F67028">
        <w:rPr>
          <w:rFonts w:eastAsia="Times New Roman"/>
          <w:b/>
          <w:bCs/>
          <w:sz w:val="28"/>
          <w:szCs w:val="28"/>
        </w:rPr>
        <w:t>’</w:t>
      </w:r>
      <w:r w:rsidR="005C4B0D" w:rsidRPr="00F67028">
        <w:rPr>
          <w:rFonts w:eastAsia="Times New Roman"/>
          <w:b/>
          <w:bCs/>
          <w:sz w:val="28"/>
          <w:szCs w:val="28"/>
          <w:lang w:val="x-none"/>
        </w:rPr>
        <w:t>s ability to recall</w:t>
      </w:r>
      <w:r w:rsidR="008B10B2" w:rsidRPr="00F67028">
        <w:rPr>
          <w:rFonts w:eastAsia="Times New Roman"/>
          <w:b/>
          <w:bCs/>
          <w:sz w:val="28"/>
          <w:szCs w:val="28"/>
        </w:rPr>
        <w:t xml:space="preserve"> </w:t>
      </w:r>
      <w:r w:rsidR="005C4B0D" w:rsidRPr="00F67028">
        <w:rPr>
          <w:rFonts w:eastAsia="Times New Roman"/>
          <w:b/>
          <w:bCs/>
          <w:sz w:val="28"/>
          <w:szCs w:val="28"/>
          <w:lang w:val="x-none"/>
        </w:rPr>
        <w:t>or observe the details of the relevant event</w:t>
      </w:r>
      <w:r w:rsidR="00505ED3" w:rsidRPr="00F67028">
        <w:rPr>
          <w:rFonts w:eastAsia="Times New Roman"/>
          <w:b/>
          <w:bCs/>
          <w:sz w:val="28"/>
          <w:szCs w:val="28"/>
          <w:lang w:val="x-none"/>
        </w:rPr>
        <w:t xml:space="preserve"> accurately</w:t>
      </w:r>
      <w:r w:rsidR="00FC34CB" w:rsidRPr="00F67028">
        <w:rPr>
          <w:b/>
          <w:bCs/>
          <w:sz w:val="28"/>
          <w:szCs w:val="28"/>
        </w:rPr>
        <w:t>.</w:t>
      </w:r>
    </w:p>
    <w:p w14:paraId="5716A52A" w14:textId="77777777" w:rsidR="000B527E" w:rsidRPr="00F67028" w:rsidRDefault="000B527E" w:rsidP="00372EAB">
      <w:pPr>
        <w:widowControl/>
        <w:snapToGrid w:val="0"/>
        <w:ind w:left="720" w:right="720"/>
        <w:jc w:val="both"/>
        <w:rPr>
          <w:b/>
          <w:bCs/>
          <w:sz w:val="28"/>
          <w:szCs w:val="28"/>
        </w:rPr>
      </w:pPr>
    </w:p>
    <w:p w14:paraId="11AB631E" w14:textId="2428ED48" w:rsidR="00667C32" w:rsidRPr="00F67028" w:rsidRDefault="000B527E" w:rsidP="005B64C5">
      <w:pPr>
        <w:widowControl/>
        <w:snapToGrid w:val="0"/>
        <w:ind w:left="720" w:right="720"/>
        <w:jc w:val="both"/>
        <w:rPr>
          <w:rFonts w:eastAsiaTheme="minorHAnsi"/>
          <w:sz w:val="28"/>
          <w:szCs w:val="28"/>
        </w:rPr>
      </w:pPr>
      <w:r w:rsidRPr="00F67028">
        <w:rPr>
          <w:b/>
          <w:bCs/>
          <w:sz w:val="28"/>
          <w:szCs w:val="28"/>
        </w:rPr>
        <w:t xml:space="preserve">(c) </w:t>
      </w:r>
      <w:r w:rsidR="009E6821" w:rsidRPr="00F67028">
        <w:rPr>
          <w:b/>
          <w:bCs/>
          <w:sz w:val="28"/>
          <w:szCs w:val="28"/>
        </w:rPr>
        <w:t xml:space="preserve">Evidence of impeachment which is not collateral may be proved by </w:t>
      </w:r>
      <w:r w:rsidR="00641E98" w:rsidRPr="00F67028">
        <w:rPr>
          <w:b/>
          <w:bCs/>
          <w:sz w:val="28"/>
          <w:szCs w:val="28"/>
        </w:rPr>
        <w:t>“</w:t>
      </w:r>
      <w:r w:rsidR="009E6821" w:rsidRPr="00F67028">
        <w:rPr>
          <w:b/>
          <w:bCs/>
          <w:sz w:val="28"/>
          <w:szCs w:val="28"/>
        </w:rPr>
        <w:t>extrinsic evidence</w:t>
      </w:r>
      <w:r w:rsidR="00641E98" w:rsidRPr="00F67028">
        <w:rPr>
          <w:b/>
          <w:bCs/>
          <w:sz w:val="28"/>
          <w:szCs w:val="28"/>
        </w:rPr>
        <w:t>,”</w:t>
      </w:r>
      <w:r w:rsidR="00667C32" w:rsidRPr="00F67028">
        <w:rPr>
          <w:b/>
          <w:bCs/>
          <w:sz w:val="28"/>
          <w:szCs w:val="28"/>
        </w:rPr>
        <w:t xml:space="preserve"> </w:t>
      </w:r>
      <w:r w:rsidR="00641E98" w:rsidRPr="00F67028">
        <w:rPr>
          <w:b/>
          <w:bCs/>
          <w:sz w:val="28"/>
          <w:szCs w:val="28"/>
        </w:rPr>
        <w:t xml:space="preserve">meaning </w:t>
      </w:r>
      <w:r w:rsidR="0005477F" w:rsidRPr="00F67028">
        <w:rPr>
          <w:b/>
          <w:bCs/>
          <w:sz w:val="28"/>
          <w:szCs w:val="28"/>
        </w:rPr>
        <w:t xml:space="preserve">evidence </w:t>
      </w:r>
      <w:r w:rsidR="00667C32" w:rsidRPr="00F67028">
        <w:rPr>
          <w:rFonts w:eastAsiaTheme="minorHAnsi"/>
          <w:b/>
          <w:bCs/>
          <w:sz w:val="28"/>
          <w:szCs w:val="28"/>
        </w:rPr>
        <w:t>adduced by means other than cross-examination of the witness.</w:t>
      </w:r>
    </w:p>
    <w:p w14:paraId="0FA95194" w14:textId="77777777" w:rsidR="005E0030" w:rsidRPr="00F67028" w:rsidRDefault="005E0030" w:rsidP="00372EAB">
      <w:pPr>
        <w:widowControl/>
        <w:snapToGrid w:val="0"/>
        <w:ind w:left="720" w:right="720"/>
        <w:jc w:val="both"/>
        <w:rPr>
          <w:rFonts w:eastAsiaTheme="minorHAnsi"/>
          <w:sz w:val="28"/>
          <w:szCs w:val="28"/>
        </w:rPr>
      </w:pPr>
    </w:p>
    <w:p w14:paraId="5E3085DA" w14:textId="17FCB22F" w:rsidR="005E0030" w:rsidRPr="00F67028" w:rsidRDefault="00EE5BAD" w:rsidP="00372EAB">
      <w:pPr>
        <w:widowControl/>
        <w:snapToGrid w:val="0"/>
        <w:ind w:left="720" w:right="720"/>
        <w:jc w:val="both"/>
        <w:rPr>
          <w:rFonts w:eastAsiaTheme="minorHAnsi"/>
          <w:b/>
          <w:bCs/>
          <w:sz w:val="28"/>
          <w:szCs w:val="28"/>
        </w:rPr>
      </w:pPr>
      <w:r w:rsidRPr="00F67028">
        <w:rPr>
          <w:rFonts w:eastAsiaTheme="minorHAnsi"/>
          <w:b/>
          <w:bCs/>
          <w:sz w:val="28"/>
          <w:szCs w:val="28"/>
        </w:rPr>
        <w:t xml:space="preserve">(3) </w:t>
      </w:r>
      <w:r w:rsidR="00D023CC" w:rsidRPr="00F67028">
        <w:rPr>
          <w:rFonts w:eastAsiaTheme="minorHAnsi"/>
          <w:b/>
          <w:bCs/>
          <w:sz w:val="28"/>
          <w:szCs w:val="28"/>
        </w:rPr>
        <w:t xml:space="preserve">The </w:t>
      </w:r>
      <w:r w:rsidR="00DF4307" w:rsidRPr="00F67028">
        <w:rPr>
          <w:rFonts w:eastAsiaTheme="minorHAnsi"/>
          <w:b/>
          <w:bCs/>
          <w:sz w:val="28"/>
          <w:szCs w:val="28"/>
        </w:rPr>
        <w:t xml:space="preserve">collateral evidence rule </w:t>
      </w:r>
      <w:r w:rsidR="002C6CB0" w:rsidRPr="00F67028">
        <w:rPr>
          <w:rFonts w:eastAsiaTheme="minorHAnsi"/>
          <w:b/>
          <w:bCs/>
          <w:sz w:val="28"/>
          <w:szCs w:val="28"/>
        </w:rPr>
        <w:t>set forth in subdivision</w:t>
      </w:r>
      <w:r w:rsidR="00AB4C0B" w:rsidRPr="00F67028">
        <w:rPr>
          <w:rFonts w:eastAsiaTheme="minorHAnsi"/>
          <w:b/>
          <w:bCs/>
          <w:sz w:val="28"/>
          <w:szCs w:val="28"/>
        </w:rPr>
        <w:t xml:space="preserve"> </w:t>
      </w:r>
      <w:r w:rsidR="00C5765A" w:rsidRPr="00F67028">
        <w:rPr>
          <w:rFonts w:eastAsiaTheme="minorHAnsi"/>
          <w:b/>
          <w:bCs/>
          <w:sz w:val="28"/>
          <w:szCs w:val="28"/>
        </w:rPr>
        <w:t xml:space="preserve">(2) </w:t>
      </w:r>
      <w:r w:rsidR="002E6CAF" w:rsidRPr="00F67028">
        <w:rPr>
          <w:rFonts w:eastAsiaTheme="minorHAnsi"/>
          <w:b/>
          <w:bCs/>
          <w:sz w:val="28"/>
          <w:szCs w:val="28"/>
        </w:rPr>
        <w:t>(a)</w:t>
      </w:r>
      <w:r w:rsidR="002C6CB0" w:rsidRPr="00F67028">
        <w:rPr>
          <w:rFonts w:eastAsiaTheme="minorHAnsi"/>
          <w:b/>
          <w:bCs/>
          <w:sz w:val="28"/>
          <w:szCs w:val="28"/>
        </w:rPr>
        <w:t xml:space="preserve"> </w:t>
      </w:r>
      <w:r w:rsidR="00AA6668" w:rsidRPr="00F67028">
        <w:rPr>
          <w:rFonts w:eastAsiaTheme="minorHAnsi"/>
          <w:b/>
          <w:bCs/>
          <w:sz w:val="28"/>
          <w:szCs w:val="28"/>
        </w:rPr>
        <w:t xml:space="preserve">does not bar the cross-examined </w:t>
      </w:r>
      <w:r w:rsidR="00AA6668" w:rsidRPr="00F67028">
        <w:rPr>
          <w:b/>
          <w:bCs/>
          <w:sz w:val="28"/>
          <w:szCs w:val="28"/>
        </w:rPr>
        <w:t xml:space="preserve">party from explaining </w:t>
      </w:r>
      <w:r w:rsidR="00EC7FCF" w:rsidRPr="00F67028">
        <w:rPr>
          <w:b/>
          <w:bCs/>
          <w:sz w:val="28"/>
          <w:szCs w:val="28"/>
        </w:rPr>
        <w:t>an</w:t>
      </w:r>
      <w:r w:rsidR="00AA6668" w:rsidRPr="00F67028">
        <w:rPr>
          <w:b/>
          <w:bCs/>
          <w:sz w:val="28"/>
          <w:szCs w:val="28"/>
        </w:rPr>
        <w:t xml:space="preserve"> admission </w:t>
      </w:r>
      <w:r w:rsidR="00E24BCD" w:rsidRPr="00F67028">
        <w:rPr>
          <w:b/>
          <w:bCs/>
          <w:sz w:val="28"/>
          <w:szCs w:val="28"/>
        </w:rPr>
        <w:t xml:space="preserve">made on cross-examination </w:t>
      </w:r>
      <w:r w:rsidR="00AA6668" w:rsidRPr="00F67028">
        <w:rPr>
          <w:b/>
          <w:bCs/>
          <w:sz w:val="28"/>
          <w:szCs w:val="28"/>
        </w:rPr>
        <w:t xml:space="preserve">or offering, within reason, </w:t>
      </w:r>
      <w:r w:rsidR="008D45A7" w:rsidRPr="00F67028">
        <w:rPr>
          <w:b/>
          <w:bCs/>
          <w:sz w:val="28"/>
          <w:szCs w:val="28"/>
        </w:rPr>
        <w:t xml:space="preserve">evidence </w:t>
      </w:r>
      <w:r w:rsidR="00AA6668" w:rsidRPr="00F67028">
        <w:rPr>
          <w:b/>
          <w:bCs/>
          <w:sz w:val="28"/>
          <w:szCs w:val="28"/>
        </w:rPr>
        <w:t xml:space="preserve">to explain </w:t>
      </w:r>
      <w:r w:rsidR="00EC7FCF" w:rsidRPr="00F67028">
        <w:rPr>
          <w:b/>
          <w:bCs/>
          <w:sz w:val="28"/>
          <w:szCs w:val="28"/>
        </w:rPr>
        <w:t>any</w:t>
      </w:r>
      <w:r w:rsidR="00AA6668" w:rsidRPr="00F67028">
        <w:rPr>
          <w:b/>
          <w:bCs/>
          <w:sz w:val="28"/>
          <w:szCs w:val="28"/>
        </w:rPr>
        <w:t xml:space="preserve"> admission</w:t>
      </w:r>
      <w:r w:rsidR="00EC7FCF" w:rsidRPr="00F67028">
        <w:rPr>
          <w:b/>
          <w:bCs/>
          <w:sz w:val="28"/>
          <w:szCs w:val="28"/>
        </w:rPr>
        <w:t>.</w:t>
      </w:r>
    </w:p>
    <w:p w14:paraId="51BF9503" w14:textId="77777777" w:rsidR="008F0A2E" w:rsidRPr="00F67028" w:rsidRDefault="008F0A2E" w:rsidP="00372EAB">
      <w:pPr>
        <w:widowControl/>
        <w:snapToGrid w:val="0"/>
        <w:ind w:left="720" w:right="720"/>
        <w:jc w:val="both"/>
        <w:rPr>
          <w:b/>
          <w:bCs/>
          <w:sz w:val="28"/>
          <w:szCs w:val="28"/>
        </w:rPr>
      </w:pPr>
    </w:p>
    <w:p w14:paraId="48255B5C" w14:textId="23F9D8B3" w:rsidR="009E6821" w:rsidRPr="00F67028" w:rsidRDefault="009E6821" w:rsidP="00372EAB">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b/>
          <w:bCs/>
          <w:sz w:val="28"/>
          <w:szCs w:val="28"/>
        </w:rPr>
      </w:pPr>
      <w:r w:rsidRPr="00F67028">
        <w:rPr>
          <w:b/>
          <w:bCs/>
          <w:sz w:val="28"/>
          <w:szCs w:val="28"/>
        </w:rPr>
        <w:t>(</w:t>
      </w:r>
      <w:r w:rsidR="00F32B1C" w:rsidRPr="00F67028">
        <w:rPr>
          <w:b/>
          <w:bCs/>
          <w:sz w:val="28"/>
          <w:szCs w:val="28"/>
        </w:rPr>
        <w:t>4</w:t>
      </w:r>
      <w:r w:rsidRPr="00F67028">
        <w:rPr>
          <w:b/>
          <w:bCs/>
          <w:sz w:val="28"/>
          <w:szCs w:val="28"/>
        </w:rPr>
        <w:t>) Except as set forth in rule 6.15 (Impeachment by Prior Inconsistent Statement), a party may not impeach its own witness.</w:t>
      </w:r>
      <w:r w:rsidR="00B66E79" w:rsidRPr="00F67028">
        <w:rPr>
          <w:b/>
          <w:bCs/>
          <w:sz w:val="28"/>
          <w:szCs w:val="28"/>
        </w:rPr>
        <w:t xml:space="preserve"> </w:t>
      </w:r>
      <w:r w:rsidRPr="00F67028">
        <w:rPr>
          <w:b/>
          <w:bCs/>
          <w:sz w:val="28"/>
          <w:szCs w:val="28"/>
        </w:rPr>
        <w:t xml:space="preserve">A party may, however, through examination, elicit testimony that an adverse </w:t>
      </w:r>
      <w:r w:rsidRPr="00F67028">
        <w:rPr>
          <w:b/>
          <w:bCs/>
          <w:sz w:val="28"/>
          <w:szCs w:val="28"/>
        </w:rPr>
        <w:lastRenderedPageBreak/>
        <w:t>party is expected to argue impeaches the witness’s credibility, and a party is not precluded from presenting a witness whose testimony is not consistent with one of that party’s other witnesses.</w:t>
      </w:r>
    </w:p>
    <w:p w14:paraId="253BC68F" w14:textId="77777777" w:rsidR="00434B83" w:rsidRPr="00F67028" w:rsidRDefault="00434B83" w:rsidP="00372EAB">
      <w:pPr>
        <w:widowControl/>
        <w:tabs>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p>
    <w:p w14:paraId="08B86C26" w14:textId="0572EEB2" w:rsidR="009E6821" w:rsidRPr="00F67028" w:rsidRDefault="009E6821" w:rsidP="00372EAB">
      <w:pPr>
        <w:widowControl/>
        <w:tabs>
          <w:tab w:val="left" w:pos="1440"/>
          <w:tab w:val="left" w:pos="2160"/>
          <w:tab w:val="left" w:pos="2880"/>
          <w:tab w:val="left" w:pos="3600"/>
          <w:tab w:val="left" w:pos="4320"/>
          <w:tab w:val="left" w:pos="5040"/>
          <w:tab w:val="left" w:pos="5760"/>
          <w:tab w:val="left" w:pos="6480"/>
          <w:tab w:val="left" w:pos="7200"/>
          <w:tab w:val="left" w:pos="7918"/>
        </w:tabs>
        <w:jc w:val="center"/>
        <w:rPr>
          <w:b/>
          <w:bCs/>
          <w:sz w:val="24"/>
          <w:szCs w:val="24"/>
        </w:rPr>
      </w:pPr>
      <w:r w:rsidRPr="00F67028">
        <w:rPr>
          <w:b/>
          <w:bCs/>
          <w:sz w:val="24"/>
          <w:szCs w:val="24"/>
        </w:rPr>
        <w:t>Note</w:t>
      </w:r>
    </w:p>
    <w:p w14:paraId="2619B49D" w14:textId="77777777" w:rsidR="009E6821" w:rsidRPr="00F67028" w:rsidRDefault="009E6821" w:rsidP="00372EAB">
      <w:pPr>
        <w:widowControl/>
        <w:tabs>
          <w:tab w:val="left" w:pos="1440"/>
          <w:tab w:val="left" w:pos="2160"/>
          <w:tab w:val="left" w:pos="2880"/>
          <w:tab w:val="left" w:pos="3600"/>
          <w:tab w:val="left" w:pos="4320"/>
          <w:tab w:val="left" w:pos="5040"/>
          <w:tab w:val="left" w:pos="5760"/>
          <w:tab w:val="left" w:pos="6480"/>
          <w:tab w:val="left" w:pos="7200"/>
          <w:tab w:val="left" w:pos="7918"/>
        </w:tabs>
        <w:rPr>
          <w:b/>
          <w:bCs/>
          <w:sz w:val="24"/>
          <w:szCs w:val="24"/>
        </w:rPr>
      </w:pPr>
    </w:p>
    <w:p w14:paraId="4332B776" w14:textId="645DB25F" w:rsidR="009E6821" w:rsidRPr="00F67028" w:rsidRDefault="00C65916"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F67028">
        <w:rPr>
          <w:b/>
          <w:bCs/>
          <w:sz w:val="24"/>
          <w:szCs w:val="24"/>
        </w:rPr>
        <w:tab/>
      </w:r>
      <w:r w:rsidR="009E6821" w:rsidRPr="00F67028">
        <w:rPr>
          <w:b/>
          <w:bCs/>
          <w:sz w:val="24"/>
          <w:szCs w:val="24"/>
        </w:rPr>
        <w:t>Subdivision (1)</w:t>
      </w:r>
      <w:r w:rsidR="00D2677C" w:rsidRPr="00F67028">
        <w:rPr>
          <w:sz w:val="24"/>
          <w:szCs w:val="24"/>
        </w:rPr>
        <w:t>.</w:t>
      </w:r>
      <w:r w:rsidR="00D2677C" w:rsidRPr="00F67028">
        <w:rPr>
          <w:b/>
          <w:bCs/>
          <w:sz w:val="24"/>
          <w:szCs w:val="24"/>
        </w:rPr>
        <w:t xml:space="preserve"> </w:t>
      </w:r>
      <w:r w:rsidR="009E6821" w:rsidRPr="00F67028">
        <w:rPr>
          <w:sz w:val="24"/>
          <w:szCs w:val="24"/>
        </w:rPr>
        <w:t>The rule stated in this subdivision is derived from Court of Appeals precedent</w:t>
      </w:r>
      <w:r w:rsidR="00D2677C" w:rsidRPr="00F67028">
        <w:rPr>
          <w:sz w:val="24"/>
          <w:szCs w:val="24"/>
        </w:rPr>
        <w:t xml:space="preserve">. </w:t>
      </w:r>
      <w:r w:rsidR="009E6821" w:rsidRPr="00F67028">
        <w:rPr>
          <w:sz w:val="24"/>
          <w:szCs w:val="24"/>
        </w:rPr>
        <w:t>Impeachment evidence is designed “to discredit the witness and to persuade the fact finder that the witness is not being truthful.</w:t>
      </w:r>
      <w:r w:rsidR="00923D16" w:rsidRPr="00F67028">
        <w:rPr>
          <w:sz w:val="24"/>
          <w:szCs w:val="24"/>
        </w:rPr>
        <w:t>”</w:t>
      </w:r>
      <w:r w:rsidR="009E6821" w:rsidRPr="00F67028">
        <w:rPr>
          <w:sz w:val="24"/>
          <w:szCs w:val="24"/>
        </w:rPr>
        <w:t xml:space="preserve"> (</w:t>
      </w:r>
      <w:r w:rsidR="009E6821" w:rsidRPr="00F67028">
        <w:rPr>
          <w:i/>
          <w:iCs/>
          <w:sz w:val="24"/>
          <w:szCs w:val="24"/>
        </w:rPr>
        <w:t>People v Walker</w:t>
      </w:r>
      <w:r w:rsidR="009E6821" w:rsidRPr="00F67028">
        <w:rPr>
          <w:sz w:val="24"/>
          <w:szCs w:val="24"/>
        </w:rPr>
        <w:t>,</w:t>
      </w:r>
      <w:r w:rsidR="009E6821" w:rsidRPr="00F67028">
        <w:rPr>
          <w:i/>
          <w:iCs/>
          <w:sz w:val="24"/>
          <w:szCs w:val="24"/>
        </w:rPr>
        <w:t xml:space="preserve"> </w:t>
      </w:r>
      <w:r w:rsidR="009E6821" w:rsidRPr="00F67028">
        <w:rPr>
          <w:sz w:val="24"/>
          <w:szCs w:val="24"/>
        </w:rPr>
        <w:t>83 NY2d 455, 461 [1994].) It may be accomplished on cross-examination or in particular instances by extrinsic evidence</w:t>
      </w:r>
      <w:r w:rsidR="00D2677C" w:rsidRPr="00F67028">
        <w:rPr>
          <w:sz w:val="24"/>
          <w:szCs w:val="24"/>
        </w:rPr>
        <w:t xml:space="preserve">. </w:t>
      </w:r>
      <w:r w:rsidR="002D15DD" w:rsidRPr="00F67028">
        <w:rPr>
          <w:sz w:val="24"/>
          <w:szCs w:val="24"/>
        </w:rPr>
        <w:t>Extrinsic evidence me</w:t>
      </w:r>
      <w:r w:rsidR="00B66E79" w:rsidRPr="00F67028">
        <w:rPr>
          <w:sz w:val="24"/>
          <w:szCs w:val="24"/>
        </w:rPr>
        <w:t xml:space="preserve">ans evidence “adduced by means other than cross-examination.” </w:t>
      </w:r>
      <w:r w:rsidR="00C07868" w:rsidRPr="00F67028">
        <w:rPr>
          <w:sz w:val="24"/>
          <w:szCs w:val="24"/>
        </w:rPr>
        <w:t>(</w:t>
      </w:r>
      <w:r w:rsidR="00B66E79" w:rsidRPr="00F67028">
        <w:rPr>
          <w:sz w:val="24"/>
          <w:szCs w:val="24"/>
        </w:rPr>
        <w:t>Black’s Law Dictionary</w:t>
      </w:r>
      <w:r w:rsidR="00C07868" w:rsidRPr="00F67028">
        <w:rPr>
          <w:sz w:val="24"/>
          <w:szCs w:val="24"/>
        </w:rPr>
        <w:t xml:space="preserve"> [11th ed 2019]</w:t>
      </w:r>
      <w:r w:rsidR="00067CB7" w:rsidRPr="00F67028">
        <w:rPr>
          <w:sz w:val="24"/>
          <w:szCs w:val="24"/>
        </w:rPr>
        <w:t xml:space="preserve">, </w:t>
      </w:r>
      <w:r w:rsidR="00A50FEA" w:rsidRPr="00F67028">
        <w:rPr>
          <w:sz w:val="24"/>
          <w:szCs w:val="24"/>
        </w:rPr>
        <w:t>extrinsic evidence</w:t>
      </w:r>
      <w:r w:rsidR="00C07868" w:rsidRPr="00F67028">
        <w:rPr>
          <w:sz w:val="24"/>
          <w:szCs w:val="24"/>
        </w:rPr>
        <w:t>.)</w:t>
      </w:r>
    </w:p>
    <w:p w14:paraId="0BB50E33" w14:textId="77777777" w:rsidR="009E6821" w:rsidRPr="00F67028" w:rsidRDefault="009E6821"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3BEE7652" w14:textId="14034257" w:rsidR="009E6821" w:rsidRPr="00F67028" w:rsidRDefault="00C65916"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F67028">
        <w:rPr>
          <w:sz w:val="24"/>
          <w:szCs w:val="24"/>
        </w:rPr>
        <w:tab/>
      </w:r>
      <w:r w:rsidR="009E6821" w:rsidRPr="00F67028">
        <w:rPr>
          <w:sz w:val="24"/>
          <w:szCs w:val="24"/>
        </w:rPr>
        <w:t>The Court of Appeals has commented that the credibility of a witness is “a many faceted concept, of course, requiring a careful assessment of a number of subtle factors before testimony can be labeled as believable or unbelievable.</w:t>
      </w:r>
      <w:r w:rsidR="00923D16" w:rsidRPr="00F67028">
        <w:rPr>
          <w:sz w:val="24"/>
          <w:szCs w:val="24"/>
        </w:rPr>
        <w:t>”</w:t>
      </w:r>
      <w:r w:rsidR="009E6821" w:rsidRPr="00F67028">
        <w:rPr>
          <w:sz w:val="24"/>
          <w:szCs w:val="24"/>
        </w:rPr>
        <w:t xml:space="preserve"> (</w:t>
      </w:r>
      <w:r w:rsidR="009E6821" w:rsidRPr="00F67028">
        <w:rPr>
          <w:i/>
          <w:iCs/>
          <w:sz w:val="24"/>
          <w:szCs w:val="24"/>
        </w:rPr>
        <w:t>People v Wise</w:t>
      </w:r>
      <w:r w:rsidR="009E6821" w:rsidRPr="00F67028">
        <w:rPr>
          <w:sz w:val="24"/>
          <w:szCs w:val="24"/>
        </w:rPr>
        <w:t>, 46 NY2d 321, 325 [1978].) The Court has explained that whether particular facts or matters are a proper subject of impeachment is an issue of relevance, namely, whether “[a]s a matter of reason and common experience” they bear on the witness’s credibility</w:t>
      </w:r>
      <w:r w:rsidR="001622F3" w:rsidRPr="00F67028">
        <w:rPr>
          <w:sz w:val="24"/>
          <w:szCs w:val="24"/>
        </w:rPr>
        <w:t xml:space="preserve">. </w:t>
      </w:r>
      <w:r w:rsidR="009E6821" w:rsidRPr="00F67028">
        <w:rPr>
          <w:sz w:val="24"/>
          <w:szCs w:val="24"/>
        </w:rPr>
        <w:t>(</w:t>
      </w:r>
      <w:r w:rsidR="009E6821" w:rsidRPr="00F67028">
        <w:rPr>
          <w:i/>
          <w:iCs/>
          <w:sz w:val="24"/>
          <w:szCs w:val="24"/>
        </w:rPr>
        <w:t>See Walker</w:t>
      </w:r>
      <w:r w:rsidR="009E6821" w:rsidRPr="00F67028">
        <w:rPr>
          <w:sz w:val="24"/>
          <w:szCs w:val="24"/>
        </w:rPr>
        <w:t>, 83 NY2d at 462.)</w:t>
      </w:r>
    </w:p>
    <w:p w14:paraId="463DFFAE" w14:textId="6854B07B" w:rsidR="009E6821" w:rsidRPr="00F67028" w:rsidRDefault="009E6821" w:rsidP="00372EAB">
      <w:pPr>
        <w:widowControl/>
        <w:tabs>
          <w:tab w:val="left" w:pos="0"/>
          <w:tab w:val="left" w:pos="2880"/>
        </w:tabs>
        <w:jc w:val="both"/>
        <w:rPr>
          <w:sz w:val="24"/>
          <w:szCs w:val="24"/>
        </w:rPr>
      </w:pPr>
    </w:p>
    <w:p w14:paraId="650696DE" w14:textId="77777777" w:rsidR="00223BB5" w:rsidRDefault="00C65916" w:rsidP="00372EAB">
      <w:pPr>
        <w:widowControl/>
        <w:snapToGrid w:val="0"/>
        <w:jc w:val="both"/>
        <w:rPr>
          <w:sz w:val="24"/>
          <w:szCs w:val="24"/>
        </w:rPr>
      </w:pPr>
      <w:r w:rsidRPr="00F67028">
        <w:rPr>
          <w:b/>
          <w:bCs/>
          <w:sz w:val="24"/>
          <w:szCs w:val="24"/>
        </w:rPr>
        <w:tab/>
      </w:r>
      <w:r w:rsidR="009E6821" w:rsidRPr="00F67028">
        <w:rPr>
          <w:b/>
          <w:bCs/>
          <w:sz w:val="24"/>
          <w:szCs w:val="24"/>
        </w:rPr>
        <w:t>Subdivision (2)</w:t>
      </w:r>
      <w:r w:rsidR="009E6821" w:rsidRPr="00F67028">
        <w:rPr>
          <w:sz w:val="24"/>
          <w:szCs w:val="24"/>
        </w:rPr>
        <w:t xml:space="preserve"> sets forth the general rule that permits the use of evidence of impeachment to cross-examine a witness and that the party examining the witness is bound by the witness’s answers unless the evidence of impeachment is not collateral</w:t>
      </w:r>
      <w:r w:rsidR="001622F3" w:rsidRPr="00F67028">
        <w:rPr>
          <w:sz w:val="24"/>
          <w:szCs w:val="24"/>
        </w:rPr>
        <w:t xml:space="preserve">. </w:t>
      </w:r>
      <w:r w:rsidR="009E6821" w:rsidRPr="00F67028">
        <w:rPr>
          <w:sz w:val="24"/>
          <w:szCs w:val="24"/>
        </w:rPr>
        <w:t>(</w:t>
      </w:r>
      <w:r w:rsidR="009E6821" w:rsidRPr="00F67028">
        <w:rPr>
          <w:i/>
          <w:iCs/>
          <w:sz w:val="24"/>
          <w:szCs w:val="24"/>
        </w:rPr>
        <w:t>See e.g. Badr v Hogan</w:t>
      </w:r>
      <w:r w:rsidR="009E6821" w:rsidRPr="00F67028">
        <w:rPr>
          <w:sz w:val="24"/>
          <w:szCs w:val="24"/>
        </w:rPr>
        <w:t xml:space="preserve">, 75 NY2d 629, 635 [1990]; </w:t>
      </w:r>
      <w:r w:rsidR="009E6821" w:rsidRPr="00F67028">
        <w:rPr>
          <w:i/>
          <w:iCs/>
          <w:sz w:val="24"/>
          <w:szCs w:val="24"/>
        </w:rPr>
        <w:t>People v Pavao</w:t>
      </w:r>
      <w:r w:rsidR="009E6821" w:rsidRPr="00F67028">
        <w:rPr>
          <w:sz w:val="24"/>
          <w:szCs w:val="24"/>
        </w:rPr>
        <w:t xml:space="preserve">, 59 NY2d 282, 288-289 [1983]; </w:t>
      </w:r>
      <w:r w:rsidR="009E6821" w:rsidRPr="00F67028">
        <w:rPr>
          <w:i/>
          <w:iCs/>
          <w:sz w:val="24"/>
          <w:szCs w:val="24"/>
        </w:rPr>
        <w:t>Halloran v Virginia Chems.</w:t>
      </w:r>
      <w:r w:rsidR="009E6821" w:rsidRPr="00F67028">
        <w:rPr>
          <w:sz w:val="24"/>
          <w:szCs w:val="24"/>
        </w:rPr>
        <w:t xml:space="preserve">, 41 NY2d 386, 390, 393 [1977]; </w:t>
      </w:r>
      <w:r w:rsidR="009E6821" w:rsidRPr="00F67028">
        <w:rPr>
          <w:i/>
          <w:iCs/>
          <w:sz w:val="24"/>
          <w:szCs w:val="24"/>
        </w:rPr>
        <w:t>People v Schwartzman</w:t>
      </w:r>
      <w:r w:rsidR="009E6821" w:rsidRPr="00F67028">
        <w:rPr>
          <w:sz w:val="24"/>
          <w:szCs w:val="24"/>
        </w:rPr>
        <w:t xml:space="preserve">, 24 NY2d 241, 245 [1969]; </w:t>
      </w:r>
      <w:r w:rsidR="009E6821" w:rsidRPr="00F67028">
        <w:rPr>
          <w:i/>
          <w:iCs/>
          <w:sz w:val="24"/>
          <w:szCs w:val="24"/>
        </w:rPr>
        <w:t>Potter v Browne</w:t>
      </w:r>
      <w:r w:rsidR="009E6821" w:rsidRPr="00F67028">
        <w:rPr>
          <w:sz w:val="24"/>
          <w:szCs w:val="24"/>
        </w:rPr>
        <w:t xml:space="preserve">, 197 NY 288, 293 [1910].) </w:t>
      </w:r>
      <w:bookmarkStart w:id="0" w:name="_Hlk119679717"/>
    </w:p>
    <w:p w14:paraId="003BD960" w14:textId="77777777" w:rsidR="0088431D" w:rsidRPr="006805A9" w:rsidRDefault="009E6821" w:rsidP="00844255">
      <w:pPr>
        <w:ind w:firstLine="720"/>
        <w:jc w:val="both"/>
        <w:rPr>
          <w:sz w:val="24"/>
          <w:szCs w:val="24"/>
        </w:rPr>
      </w:pPr>
      <w:r w:rsidRPr="00F67028">
        <w:rPr>
          <w:sz w:val="24"/>
          <w:szCs w:val="24"/>
        </w:rPr>
        <w:t>Impeaching evidence is not collateral when directly relevant to one or more issues in the case (</w:t>
      </w:r>
      <w:r w:rsidRPr="00F67028">
        <w:rPr>
          <w:i/>
          <w:iCs/>
          <w:sz w:val="24"/>
          <w:szCs w:val="24"/>
        </w:rPr>
        <w:t>see People v Cade</w:t>
      </w:r>
      <w:r w:rsidRPr="00F67028">
        <w:rPr>
          <w:sz w:val="24"/>
          <w:szCs w:val="24"/>
        </w:rPr>
        <w:t>, 73 NY2d 904 [1989]); or independently admissible to impeach the witness, e.g. show the witness’s bias, hostility or impaired ability to perceive or understand the nature of an oath or affirmation</w:t>
      </w:r>
      <w:r w:rsidR="0068367E" w:rsidRPr="00F67028">
        <w:rPr>
          <w:sz w:val="24"/>
          <w:szCs w:val="24"/>
        </w:rPr>
        <w:t xml:space="preserve"> </w:t>
      </w:r>
      <w:r w:rsidRPr="00F67028">
        <w:rPr>
          <w:sz w:val="24"/>
          <w:szCs w:val="24"/>
        </w:rPr>
        <w:t>(</w:t>
      </w:r>
      <w:r w:rsidR="00067CB7" w:rsidRPr="00F67028">
        <w:rPr>
          <w:i/>
          <w:iCs/>
          <w:sz w:val="24"/>
          <w:szCs w:val="24"/>
        </w:rPr>
        <w:t>s</w:t>
      </w:r>
      <w:r w:rsidRPr="00F67028">
        <w:rPr>
          <w:i/>
          <w:iCs/>
          <w:sz w:val="24"/>
          <w:szCs w:val="24"/>
        </w:rPr>
        <w:t>ee Badr</w:t>
      </w:r>
      <w:r w:rsidRPr="00F67028">
        <w:rPr>
          <w:sz w:val="24"/>
          <w:szCs w:val="24"/>
        </w:rPr>
        <w:t>,</w:t>
      </w:r>
      <w:r w:rsidRPr="00F67028">
        <w:rPr>
          <w:i/>
          <w:iCs/>
          <w:sz w:val="24"/>
          <w:szCs w:val="24"/>
        </w:rPr>
        <w:t xml:space="preserve"> </w:t>
      </w:r>
      <w:r w:rsidRPr="00F67028">
        <w:rPr>
          <w:sz w:val="24"/>
          <w:szCs w:val="24"/>
        </w:rPr>
        <w:t xml:space="preserve">75 NY2d at 635; </w:t>
      </w:r>
      <w:r w:rsidRPr="00F67028">
        <w:rPr>
          <w:i/>
          <w:iCs/>
          <w:sz w:val="24"/>
          <w:szCs w:val="24"/>
        </w:rPr>
        <w:t>Schwartzman</w:t>
      </w:r>
      <w:r w:rsidRPr="00F67028">
        <w:rPr>
          <w:sz w:val="24"/>
          <w:szCs w:val="24"/>
        </w:rPr>
        <w:t>, 24 NY2d at 245</w:t>
      </w:r>
      <w:r w:rsidR="004E650A" w:rsidRPr="00F67028">
        <w:rPr>
          <w:sz w:val="24"/>
          <w:szCs w:val="24"/>
        </w:rPr>
        <w:t>)</w:t>
      </w:r>
      <w:r w:rsidR="00975A80">
        <w:rPr>
          <w:sz w:val="24"/>
          <w:szCs w:val="24"/>
        </w:rPr>
        <w:t>;</w:t>
      </w:r>
      <w:r w:rsidR="004E650A" w:rsidRPr="00F67028">
        <w:rPr>
          <w:sz w:val="24"/>
          <w:szCs w:val="24"/>
        </w:rPr>
        <w:t xml:space="preserve"> or </w:t>
      </w:r>
      <w:r w:rsidR="002361B5" w:rsidRPr="00F67028">
        <w:rPr>
          <w:sz w:val="24"/>
          <w:szCs w:val="24"/>
        </w:rPr>
        <w:t>“</w:t>
      </w:r>
      <w:r w:rsidR="004E650A" w:rsidRPr="00F67028">
        <w:rPr>
          <w:sz w:val="24"/>
          <w:szCs w:val="24"/>
        </w:rPr>
        <w:t>where evidence is</w:t>
      </w:r>
      <w:r w:rsidR="008C5471" w:rsidRPr="00F67028">
        <w:rPr>
          <w:rFonts w:eastAsia="Times New Roman"/>
          <w:sz w:val="24"/>
          <w:szCs w:val="24"/>
        </w:rPr>
        <w:t xml:space="preserve"> </w:t>
      </w:r>
      <w:r w:rsidR="004E650A" w:rsidRPr="00F67028">
        <w:rPr>
          <w:rFonts w:eastAsia="Times New Roman"/>
          <w:sz w:val="24"/>
          <w:szCs w:val="24"/>
          <w:lang w:val="x-none"/>
        </w:rPr>
        <w:t>clearly probative of [a] witness</w:t>
      </w:r>
      <w:r w:rsidR="00B05E83" w:rsidRPr="00F67028">
        <w:rPr>
          <w:rFonts w:eastAsia="Times New Roman"/>
          <w:sz w:val="24"/>
          <w:szCs w:val="24"/>
        </w:rPr>
        <w:t>’</w:t>
      </w:r>
      <w:r w:rsidR="004E650A" w:rsidRPr="00F67028">
        <w:rPr>
          <w:rFonts w:eastAsia="Times New Roman"/>
          <w:sz w:val="24"/>
          <w:szCs w:val="24"/>
          <w:lang w:val="x-none"/>
        </w:rPr>
        <w:t>s ability to accurately recall</w:t>
      </w:r>
      <w:r w:rsidR="004E650A" w:rsidRPr="00F67028">
        <w:rPr>
          <w:rFonts w:eastAsia="Times New Roman"/>
          <w:sz w:val="24"/>
          <w:szCs w:val="24"/>
        </w:rPr>
        <w:t xml:space="preserve"> </w:t>
      </w:r>
      <w:r w:rsidR="004E650A" w:rsidRPr="00F67028">
        <w:rPr>
          <w:rFonts w:eastAsia="Times New Roman"/>
          <w:sz w:val="24"/>
          <w:szCs w:val="24"/>
          <w:lang w:val="x-none"/>
        </w:rPr>
        <w:t>or to observe the details of the relevant event, it is not collateral and it is admissible</w:t>
      </w:r>
      <w:r w:rsidR="00736223" w:rsidRPr="00F67028">
        <w:rPr>
          <w:rFonts w:eastAsia="Times New Roman"/>
          <w:sz w:val="24"/>
          <w:szCs w:val="24"/>
        </w:rPr>
        <w:t>.</w:t>
      </w:r>
      <w:r w:rsidR="007A3112" w:rsidRPr="00F67028">
        <w:rPr>
          <w:rFonts w:eastAsia="Times New Roman"/>
          <w:sz w:val="24"/>
          <w:szCs w:val="24"/>
        </w:rPr>
        <w:t>”</w:t>
      </w:r>
      <w:r w:rsidR="00736223" w:rsidRPr="00F67028">
        <w:rPr>
          <w:sz w:val="24"/>
          <w:szCs w:val="24"/>
        </w:rPr>
        <w:t xml:space="preserve"> </w:t>
      </w:r>
      <w:r w:rsidR="007A3112" w:rsidRPr="00F67028">
        <w:rPr>
          <w:sz w:val="24"/>
          <w:szCs w:val="24"/>
        </w:rPr>
        <w:t>(</w:t>
      </w:r>
      <w:r w:rsidR="00AE55C8" w:rsidRPr="00F67028">
        <w:rPr>
          <w:i/>
          <w:iCs/>
          <w:sz w:val="24"/>
          <w:szCs w:val="24"/>
        </w:rPr>
        <w:t>People v Deverow</w:t>
      </w:r>
      <w:r w:rsidR="00AE55C8" w:rsidRPr="00F67028">
        <w:rPr>
          <w:sz w:val="24"/>
          <w:szCs w:val="24"/>
        </w:rPr>
        <w:t>, 38 NY3d 157</w:t>
      </w:r>
      <w:r w:rsidR="00584987" w:rsidRPr="00F67028">
        <w:rPr>
          <w:sz w:val="24"/>
          <w:szCs w:val="24"/>
        </w:rPr>
        <w:t>, 16</w:t>
      </w:r>
      <w:r w:rsidR="00067CB7" w:rsidRPr="00F67028">
        <w:rPr>
          <w:sz w:val="24"/>
          <w:szCs w:val="24"/>
        </w:rPr>
        <w:t>5</w:t>
      </w:r>
      <w:r w:rsidR="00AE55C8" w:rsidRPr="00F67028">
        <w:rPr>
          <w:sz w:val="24"/>
          <w:szCs w:val="24"/>
        </w:rPr>
        <w:t xml:space="preserve"> [202</w:t>
      </w:r>
      <w:r w:rsidR="00067CB7" w:rsidRPr="00F67028">
        <w:rPr>
          <w:sz w:val="24"/>
          <w:szCs w:val="24"/>
        </w:rPr>
        <w:t>2</w:t>
      </w:r>
      <w:r w:rsidR="00AE55C8" w:rsidRPr="00F67028">
        <w:rPr>
          <w:sz w:val="24"/>
          <w:szCs w:val="24"/>
        </w:rPr>
        <w:t>]</w:t>
      </w:r>
      <w:r w:rsidR="00B77821" w:rsidRPr="00F67028">
        <w:rPr>
          <w:sz w:val="24"/>
          <w:szCs w:val="24"/>
        </w:rPr>
        <w:t xml:space="preserve"> </w:t>
      </w:r>
      <w:r w:rsidR="00943E18" w:rsidRPr="00F67028">
        <w:rPr>
          <w:sz w:val="24"/>
          <w:szCs w:val="24"/>
        </w:rPr>
        <w:t>[</w:t>
      </w:r>
      <w:r w:rsidR="00067CB7" w:rsidRPr="00F67028">
        <w:rPr>
          <w:sz w:val="24"/>
          <w:szCs w:val="24"/>
        </w:rPr>
        <w:t xml:space="preserve">internal </w:t>
      </w:r>
      <w:r w:rsidR="00B77821" w:rsidRPr="00F67028">
        <w:rPr>
          <w:sz w:val="24"/>
          <w:szCs w:val="24"/>
        </w:rPr>
        <w:t>quotation marks omitted</w:t>
      </w:r>
      <w:r w:rsidR="00943E18" w:rsidRPr="00F67028">
        <w:rPr>
          <w:sz w:val="24"/>
          <w:szCs w:val="24"/>
        </w:rPr>
        <w:t>]</w:t>
      </w:r>
      <w:r w:rsidR="007A3112" w:rsidRPr="00F67028">
        <w:rPr>
          <w:sz w:val="24"/>
          <w:szCs w:val="24"/>
        </w:rPr>
        <w:t>.)</w:t>
      </w:r>
      <w:bookmarkEnd w:id="0"/>
      <w:r w:rsidR="0088431D">
        <w:rPr>
          <w:sz w:val="24"/>
          <w:szCs w:val="24"/>
        </w:rPr>
        <w:t xml:space="preserve">  </w:t>
      </w:r>
      <w:r w:rsidR="0088431D" w:rsidRPr="006805A9">
        <w:rPr>
          <w:sz w:val="24"/>
          <w:szCs w:val="24"/>
        </w:rPr>
        <w:t xml:space="preserve">In </w:t>
      </w:r>
      <w:r w:rsidR="0088431D" w:rsidRPr="006805A9">
        <w:rPr>
          <w:i/>
          <w:iCs/>
          <w:sz w:val="24"/>
          <w:szCs w:val="24"/>
        </w:rPr>
        <w:t>Deverow</w:t>
      </w:r>
      <w:r w:rsidR="0088431D" w:rsidRPr="006805A9">
        <w:rPr>
          <w:sz w:val="24"/>
          <w:szCs w:val="24"/>
        </w:rPr>
        <w:t>, the trial court erred in excluding a defense witness who per the People’s “own theory of the case placed [the defense witness] on the scene the instant before the shooting” and whose proffered testimony “</w:t>
      </w:r>
      <w:r w:rsidR="0088431D" w:rsidRPr="006805A9">
        <w:rPr>
          <w:rFonts w:eastAsia="Times New Roman"/>
          <w:sz w:val="24"/>
          <w:szCs w:val="24"/>
          <w:bdr w:val="none" w:sz="0" w:space="0" w:color="auto" w:frame="1"/>
        </w:rPr>
        <w:t>would have directly contradicted a significant portion of [the People’s witness’s] account.”</w:t>
      </w:r>
    </w:p>
    <w:p w14:paraId="349BE679" w14:textId="7EB5B3EF" w:rsidR="009E6821" w:rsidRPr="00F67028" w:rsidRDefault="00C65916"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F67028">
        <w:rPr>
          <w:sz w:val="24"/>
          <w:szCs w:val="24"/>
        </w:rPr>
        <w:tab/>
      </w:r>
      <w:r w:rsidR="009E6821" w:rsidRPr="00F67028">
        <w:rPr>
          <w:sz w:val="24"/>
          <w:szCs w:val="24"/>
        </w:rPr>
        <w:t>Thus, if the matter is collateral, the cross-examiner may inquire into it, but must take the witness’s answer and is not free to put in independent proof about the collateral matter</w:t>
      </w:r>
      <w:r w:rsidR="001622F3" w:rsidRPr="00F67028">
        <w:rPr>
          <w:sz w:val="24"/>
          <w:szCs w:val="24"/>
        </w:rPr>
        <w:t xml:space="preserve">. </w:t>
      </w:r>
      <w:r w:rsidR="009E6821" w:rsidRPr="00F67028">
        <w:rPr>
          <w:sz w:val="24"/>
          <w:szCs w:val="24"/>
        </w:rPr>
        <w:t>(</w:t>
      </w:r>
      <w:r w:rsidR="009E6821" w:rsidRPr="00F67028">
        <w:rPr>
          <w:i/>
          <w:iCs/>
          <w:sz w:val="24"/>
          <w:szCs w:val="24"/>
        </w:rPr>
        <w:t>Wise</w:t>
      </w:r>
      <w:r w:rsidR="009E6821" w:rsidRPr="00F67028">
        <w:rPr>
          <w:sz w:val="24"/>
          <w:szCs w:val="24"/>
        </w:rPr>
        <w:t xml:space="preserve">, 46 NY2d at 328.) “This rule,” the Court of Appeals has observed, “is premised on sound policy considerations for if extrinsic evidence </w:t>
      </w:r>
      <w:r w:rsidR="009E6821" w:rsidRPr="00F67028">
        <w:rPr>
          <w:sz w:val="24"/>
          <w:szCs w:val="24"/>
        </w:rPr>
        <w:lastRenderedPageBreak/>
        <w:t>which is otherwise inadmissible is allowed to be introduced to contradict each and every answer given by a witness solely for the purpose of impeaching that witness, numerous collateral minitrials would arise involving the accuracy of each of the witness</w:t>
      </w:r>
      <w:r w:rsidR="00923D16" w:rsidRPr="00F67028">
        <w:rPr>
          <w:sz w:val="24"/>
          <w:szCs w:val="24"/>
        </w:rPr>
        <w:t>’</w:t>
      </w:r>
      <w:r w:rsidR="009E6821" w:rsidRPr="00F67028">
        <w:rPr>
          <w:sz w:val="24"/>
          <w:szCs w:val="24"/>
        </w:rPr>
        <w:t xml:space="preserve"> answers</w:t>
      </w:r>
      <w:r w:rsidR="001622F3" w:rsidRPr="00F67028">
        <w:rPr>
          <w:sz w:val="24"/>
          <w:szCs w:val="24"/>
        </w:rPr>
        <w:t xml:space="preserve">. </w:t>
      </w:r>
      <w:r w:rsidR="009E6821" w:rsidRPr="00F67028">
        <w:rPr>
          <w:sz w:val="24"/>
          <w:szCs w:val="24"/>
        </w:rPr>
        <w:t>The resulting length of the trial would by far outweigh the limited probative value of such evidence.</w:t>
      </w:r>
      <w:r w:rsidR="00923D16" w:rsidRPr="00F67028">
        <w:rPr>
          <w:sz w:val="24"/>
          <w:szCs w:val="24"/>
        </w:rPr>
        <w:t>”</w:t>
      </w:r>
      <w:r w:rsidR="009E6821" w:rsidRPr="00F67028">
        <w:rPr>
          <w:sz w:val="24"/>
          <w:szCs w:val="24"/>
        </w:rPr>
        <w:t xml:space="preserve"> (</w:t>
      </w:r>
      <w:r w:rsidR="009E6821" w:rsidRPr="00F67028">
        <w:rPr>
          <w:i/>
          <w:iCs/>
          <w:sz w:val="24"/>
          <w:szCs w:val="24"/>
        </w:rPr>
        <w:t>Pavao</w:t>
      </w:r>
      <w:r w:rsidR="009E6821" w:rsidRPr="00F67028">
        <w:rPr>
          <w:sz w:val="24"/>
          <w:szCs w:val="24"/>
        </w:rPr>
        <w:t>, 59 NY2d at 289</w:t>
      </w:r>
      <w:r w:rsidR="002F6226" w:rsidRPr="00F67028">
        <w:rPr>
          <w:sz w:val="24"/>
          <w:szCs w:val="24"/>
        </w:rPr>
        <w:t xml:space="preserve">; </w:t>
      </w:r>
      <w:bookmarkStart w:id="1" w:name="_Hlk111067661"/>
      <w:r w:rsidR="00A44B4B" w:rsidRPr="00F67028">
        <w:rPr>
          <w:i/>
          <w:iCs/>
          <w:sz w:val="24"/>
          <w:szCs w:val="24"/>
        </w:rPr>
        <w:t>Deverow</w:t>
      </w:r>
      <w:r w:rsidR="00A44B4B" w:rsidRPr="00F67028">
        <w:rPr>
          <w:sz w:val="24"/>
          <w:szCs w:val="24"/>
        </w:rPr>
        <w:t xml:space="preserve">, </w:t>
      </w:r>
      <w:r w:rsidR="00F01CD9" w:rsidRPr="00F67028">
        <w:rPr>
          <w:sz w:val="24"/>
          <w:szCs w:val="24"/>
        </w:rPr>
        <w:t xml:space="preserve">38 NY3d </w:t>
      </w:r>
      <w:r w:rsidR="000A4F55" w:rsidRPr="00F67028">
        <w:rPr>
          <w:sz w:val="24"/>
          <w:szCs w:val="24"/>
        </w:rPr>
        <w:t>at 165</w:t>
      </w:r>
      <w:r w:rsidR="009E6821" w:rsidRPr="00F67028">
        <w:rPr>
          <w:sz w:val="24"/>
          <w:szCs w:val="24"/>
        </w:rPr>
        <w:t>.)</w:t>
      </w:r>
    </w:p>
    <w:bookmarkEnd w:id="1"/>
    <w:p w14:paraId="4F43032D" w14:textId="77777777" w:rsidR="007872FB" w:rsidRPr="00F67028" w:rsidRDefault="007872FB"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1006A73C" w14:textId="5D6BF6F6" w:rsidR="009E6821" w:rsidRPr="00F67028" w:rsidRDefault="00C65916"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F67028">
        <w:rPr>
          <w:sz w:val="24"/>
          <w:szCs w:val="24"/>
        </w:rPr>
        <w:tab/>
      </w:r>
      <w:r w:rsidR="009E6821" w:rsidRPr="00F67028">
        <w:rPr>
          <w:sz w:val="24"/>
          <w:szCs w:val="24"/>
        </w:rPr>
        <w:t>Impeachment is subject to the control of the trial court’s exercise of sound discretion</w:t>
      </w:r>
      <w:r w:rsidR="001622F3" w:rsidRPr="00F67028">
        <w:rPr>
          <w:sz w:val="24"/>
          <w:szCs w:val="24"/>
        </w:rPr>
        <w:t xml:space="preserve">. </w:t>
      </w:r>
      <w:r w:rsidR="009E6821" w:rsidRPr="00F67028">
        <w:rPr>
          <w:sz w:val="24"/>
          <w:szCs w:val="24"/>
        </w:rPr>
        <w:t>(</w:t>
      </w:r>
      <w:r w:rsidR="009E6821" w:rsidRPr="00F67028">
        <w:rPr>
          <w:i/>
          <w:iCs/>
          <w:sz w:val="24"/>
          <w:szCs w:val="24"/>
        </w:rPr>
        <w:t>See Schwartzman</w:t>
      </w:r>
      <w:r w:rsidR="009E6821" w:rsidRPr="00F67028">
        <w:rPr>
          <w:sz w:val="24"/>
          <w:szCs w:val="24"/>
        </w:rPr>
        <w:t>, 24 NY2d at 245;</w:t>
      </w:r>
      <w:r w:rsidR="009E6821" w:rsidRPr="00F67028">
        <w:rPr>
          <w:i/>
          <w:iCs/>
          <w:sz w:val="24"/>
          <w:szCs w:val="24"/>
        </w:rPr>
        <w:t xml:space="preserve"> Langley v Wadsworth</w:t>
      </w:r>
      <w:r w:rsidR="009E6821" w:rsidRPr="00F67028">
        <w:rPr>
          <w:sz w:val="24"/>
          <w:szCs w:val="24"/>
        </w:rPr>
        <w:t>, 99 NY 61, 63 [1885] [noting when the object of cross-examination “is to ascertain the accuracy or credibility of a witness, its method and duration are subject to the discretion of the trial judge, and unless abused, its exercise is not the subject of review”].) While the Confrontation Clause of the Sixth Amendment to the United States Constitution guarantees the defendant in a criminal trial an opportunity for cross-examination, it does not</w:t>
      </w:r>
      <w:r w:rsidR="00923D16" w:rsidRPr="00F67028">
        <w:rPr>
          <w:sz w:val="24"/>
          <w:szCs w:val="24"/>
        </w:rPr>
        <w:t xml:space="preserve"> guarantee a cross-examination “</w:t>
      </w:r>
      <w:r w:rsidR="009E6821" w:rsidRPr="00F67028">
        <w:rPr>
          <w:sz w:val="24"/>
          <w:szCs w:val="24"/>
        </w:rPr>
        <w:t>that is effective in whatever way, and to whatever extent, the defense might wish.</w:t>
      </w:r>
      <w:r w:rsidR="00923D16" w:rsidRPr="00F67028">
        <w:rPr>
          <w:sz w:val="24"/>
          <w:szCs w:val="24"/>
        </w:rPr>
        <w:t>”</w:t>
      </w:r>
      <w:r w:rsidR="009E6821" w:rsidRPr="00F67028">
        <w:rPr>
          <w:sz w:val="24"/>
          <w:szCs w:val="24"/>
        </w:rPr>
        <w:t xml:space="preserve"> (</w:t>
      </w:r>
      <w:r w:rsidR="009E6821" w:rsidRPr="00F67028">
        <w:rPr>
          <w:i/>
          <w:iCs/>
          <w:sz w:val="24"/>
          <w:szCs w:val="24"/>
        </w:rPr>
        <w:t>Delaware v Fensterer</w:t>
      </w:r>
      <w:r w:rsidR="009E6821" w:rsidRPr="00F67028">
        <w:rPr>
          <w:sz w:val="24"/>
          <w:szCs w:val="24"/>
        </w:rPr>
        <w:t xml:space="preserve">, 474 US 15, 20 [1985]; </w:t>
      </w:r>
      <w:r w:rsidR="009E6821" w:rsidRPr="00F67028">
        <w:rPr>
          <w:i/>
          <w:iCs/>
          <w:sz w:val="24"/>
          <w:szCs w:val="24"/>
        </w:rPr>
        <w:t>People v Burns</w:t>
      </w:r>
      <w:r w:rsidR="009E6821" w:rsidRPr="00F67028">
        <w:rPr>
          <w:sz w:val="24"/>
          <w:szCs w:val="24"/>
        </w:rPr>
        <w:t>, 6 NY3d 793, 795 [2006].) Thus, it is generally within the court’s sound discretion to limit the scope of cross-examination of the criminal defendant when questions are irrelevant, concern collateral issues, or risk misleading the jury</w:t>
      </w:r>
      <w:r w:rsidR="001622F3" w:rsidRPr="00F67028">
        <w:rPr>
          <w:sz w:val="24"/>
          <w:szCs w:val="24"/>
        </w:rPr>
        <w:t xml:space="preserve">. </w:t>
      </w:r>
      <w:r w:rsidR="009E6821" w:rsidRPr="00F67028">
        <w:rPr>
          <w:sz w:val="24"/>
          <w:szCs w:val="24"/>
        </w:rPr>
        <w:t>(</w:t>
      </w:r>
      <w:r w:rsidR="009E6821" w:rsidRPr="00F67028">
        <w:rPr>
          <w:i/>
          <w:iCs/>
          <w:sz w:val="24"/>
          <w:szCs w:val="24"/>
        </w:rPr>
        <w:t>Id.</w:t>
      </w:r>
      <w:r w:rsidR="009E6821" w:rsidRPr="00F67028">
        <w:rPr>
          <w:sz w:val="24"/>
          <w:szCs w:val="24"/>
        </w:rPr>
        <w:t>)</w:t>
      </w:r>
    </w:p>
    <w:p w14:paraId="0DAF171D" w14:textId="77777777" w:rsidR="00F32B1C" w:rsidRPr="00F67028" w:rsidRDefault="00F32B1C"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656500DC" w14:textId="1325ACA0" w:rsidR="008C1406" w:rsidRPr="00F67028" w:rsidRDefault="00F32B1C" w:rsidP="00372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F67028">
        <w:rPr>
          <w:sz w:val="24"/>
          <w:szCs w:val="24"/>
        </w:rPr>
        <w:tab/>
      </w:r>
      <w:r w:rsidR="00E07A03" w:rsidRPr="00F67028">
        <w:rPr>
          <w:rFonts w:eastAsia="Times New Roman"/>
          <w:b/>
          <w:bCs/>
          <w:sz w:val="24"/>
          <w:szCs w:val="24"/>
        </w:rPr>
        <w:t>Subdivision (3)</w:t>
      </w:r>
      <w:r w:rsidR="00E07A03" w:rsidRPr="00F67028">
        <w:rPr>
          <w:rFonts w:eastAsia="Times New Roman"/>
          <w:sz w:val="24"/>
          <w:szCs w:val="24"/>
        </w:rPr>
        <w:t xml:space="preserve"> is derived from </w:t>
      </w:r>
      <w:r w:rsidR="00E07A03" w:rsidRPr="00F67028">
        <w:rPr>
          <w:rFonts w:eastAsia="Times New Roman"/>
          <w:i/>
          <w:iCs/>
          <w:sz w:val="24"/>
          <w:szCs w:val="24"/>
        </w:rPr>
        <w:t>People v Catalanotte</w:t>
      </w:r>
      <w:r w:rsidR="00E07A03" w:rsidRPr="00F67028">
        <w:rPr>
          <w:rFonts w:eastAsia="Times New Roman"/>
          <w:sz w:val="24"/>
          <w:szCs w:val="24"/>
        </w:rPr>
        <w:t xml:space="preserve"> </w:t>
      </w:r>
      <w:r w:rsidR="003901C3" w:rsidRPr="00F67028">
        <w:rPr>
          <w:rFonts w:eastAsia="Times New Roman"/>
          <w:sz w:val="24"/>
          <w:szCs w:val="24"/>
        </w:rPr>
        <w:t>(</w:t>
      </w:r>
      <w:r w:rsidR="00E07A03" w:rsidRPr="00F67028">
        <w:rPr>
          <w:rFonts w:eastAsia="Times New Roman"/>
          <w:sz w:val="24"/>
          <w:szCs w:val="24"/>
        </w:rPr>
        <w:t>36 NY2d 192, 195 [1975]</w:t>
      </w:r>
      <w:r w:rsidR="003901C3" w:rsidRPr="00F67028">
        <w:rPr>
          <w:rFonts w:eastAsia="Times New Roman"/>
          <w:sz w:val="24"/>
          <w:szCs w:val="24"/>
        </w:rPr>
        <w:t>)</w:t>
      </w:r>
      <w:r w:rsidR="00E07A03" w:rsidRPr="00F67028">
        <w:rPr>
          <w:rFonts w:eastAsia="Times New Roman"/>
          <w:sz w:val="24"/>
          <w:szCs w:val="24"/>
        </w:rPr>
        <w:t xml:space="preserve">. In </w:t>
      </w:r>
      <w:r w:rsidR="00E07A03" w:rsidRPr="00F67028">
        <w:rPr>
          <w:rFonts w:eastAsia="Times New Roman"/>
          <w:i/>
          <w:iCs/>
          <w:sz w:val="24"/>
          <w:szCs w:val="24"/>
        </w:rPr>
        <w:t>Catalanotte</w:t>
      </w:r>
      <w:r w:rsidR="00E07A03" w:rsidRPr="00F67028">
        <w:rPr>
          <w:rFonts w:eastAsia="Times New Roman"/>
          <w:sz w:val="24"/>
          <w:szCs w:val="24"/>
        </w:rPr>
        <w:t xml:space="preserve">, the defendant was accused of selling illegal drugs. On cross-examination, the prosecutor questioned the defendant about substantial monies purportedly in bank accounts in his name, attempting thereby to imply that the bank accounts contained the fruits of his trafficking in illegal drugs. The defendant had no explanation for the bank accounts, denying any knowledge of them. In rebuttal, however, the defendant requested permission to call a witness </w:t>
      </w:r>
      <w:r w:rsidR="009A5F53" w:rsidRPr="00F67028">
        <w:rPr>
          <w:rFonts w:eastAsia="Times New Roman"/>
          <w:sz w:val="24"/>
          <w:szCs w:val="24"/>
        </w:rPr>
        <w:t xml:space="preserve">who could purportedly </w:t>
      </w:r>
      <w:r w:rsidR="00E07A03" w:rsidRPr="00F67028">
        <w:rPr>
          <w:rFonts w:eastAsia="Times New Roman"/>
          <w:sz w:val="24"/>
          <w:szCs w:val="24"/>
        </w:rPr>
        <w:t>explain the money in the accounts</w:t>
      </w:r>
      <w:r w:rsidR="00CA14E9" w:rsidRPr="00F67028">
        <w:rPr>
          <w:rFonts w:eastAsia="Times New Roman"/>
          <w:sz w:val="24"/>
          <w:szCs w:val="24"/>
        </w:rPr>
        <w:t>;</w:t>
      </w:r>
      <w:r w:rsidR="00E07A03" w:rsidRPr="00F67028">
        <w:rPr>
          <w:rFonts w:eastAsia="Times New Roman"/>
          <w:sz w:val="24"/>
          <w:szCs w:val="24"/>
        </w:rPr>
        <w:t xml:space="preserve"> the trial court denied the request as constituting impermissible collateral evidence. The Court of Appeals was unanimous that the exclusion of the rebuttal witness was error, dividing only on whether the error was harmless. The majority (which found the error harmless) explained that: </w:t>
      </w:r>
      <w:r w:rsidR="00B05E83" w:rsidRPr="00F67028">
        <w:rPr>
          <w:rFonts w:eastAsia="Times New Roman"/>
          <w:sz w:val="24"/>
          <w:szCs w:val="24"/>
        </w:rPr>
        <w:t>“</w:t>
      </w:r>
      <w:r w:rsidR="00E07A03" w:rsidRPr="00F67028">
        <w:rPr>
          <w:rFonts w:eastAsia="Times New Roman"/>
          <w:sz w:val="24"/>
          <w:szCs w:val="24"/>
        </w:rPr>
        <w:t xml:space="preserve">the collateral issue rule bars the cross-examiner from offering evidence contradicting the cross-examined party on a collateral issue; it does not or should not bar the cross-examined </w:t>
      </w:r>
      <w:bookmarkStart w:id="2" w:name="_Hlk112666118"/>
      <w:r w:rsidR="00E07A03" w:rsidRPr="00F67028">
        <w:rPr>
          <w:rFonts w:eastAsia="Times New Roman"/>
          <w:sz w:val="24"/>
          <w:szCs w:val="24"/>
        </w:rPr>
        <w:t>party from explaining his admissions or offering, within reason, proof from others to explain his partial admissions</w:t>
      </w:r>
      <w:bookmarkEnd w:id="2"/>
      <w:r w:rsidR="00E07A03" w:rsidRPr="00F67028">
        <w:rPr>
          <w:rFonts w:eastAsia="Times New Roman"/>
          <w:sz w:val="24"/>
          <w:szCs w:val="24"/>
        </w:rPr>
        <w:t>.</w:t>
      </w:r>
      <w:r w:rsidR="00B05E83" w:rsidRPr="00F67028">
        <w:rPr>
          <w:rFonts w:eastAsia="Times New Roman"/>
          <w:sz w:val="24"/>
          <w:szCs w:val="24"/>
        </w:rPr>
        <w:t>”</w:t>
      </w:r>
      <w:r w:rsidR="008C1406" w:rsidRPr="00F67028">
        <w:rPr>
          <w:rFonts w:eastAsia="Times New Roman"/>
          <w:sz w:val="24"/>
          <w:szCs w:val="24"/>
        </w:rPr>
        <w:t xml:space="preserve"> </w:t>
      </w:r>
      <w:r w:rsidR="003901C3" w:rsidRPr="00F67028">
        <w:rPr>
          <w:rFonts w:eastAsia="Times New Roman"/>
          <w:sz w:val="24"/>
          <w:szCs w:val="24"/>
        </w:rPr>
        <w:t>(</w:t>
      </w:r>
      <w:r w:rsidR="00BB30C9" w:rsidRPr="00F67028">
        <w:rPr>
          <w:rFonts w:eastAsia="Times New Roman"/>
          <w:i/>
          <w:iCs/>
          <w:sz w:val="24"/>
          <w:szCs w:val="24"/>
        </w:rPr>
        <w:t>Id.</w:t>
      </w:r>
      <w:r w:rsidR="00BB30C9" w:rsidRPr="00F67028">
        <w:rPr>
          <w:rFonts w:eastAsia="Times New Roman"/>
          <w:sz w:val="24"/>
          <w:szCs w:val="24"/>
        </w:rPr>
        <w:t>;</w:t>
      </w:r>
      <w:r w:rsidR="00BB30C9" w:rsidRPr="00F67028">
        <w:rPr>
          <w:rFonts w:eastAsia="Times New Roman"/>
          <w:i/>
          <w:iCs/>
          <w:sz w:val="24"/>
          <w:szCs w:val="24"/>
        </w:rPr>
        <w:t xml:space="preserve"> s</w:t>
      </w:r>
      <w:r w:rsidR="0065005E" w:rsidRPr="00F67028">
        <w:rPr>
          <w:rFonts w:eastAsia="Times New Roman"/>
          <w:i/>
          <w:iCs/>
          <w:sz w:val="24"/>
          <w:szCs w:val="24"/>
        </w:rPr>
        <w:t>ee</w:t>
      </w:r>
      <w:r w:rsidR="0065005E" w:rsidRPr="00F67028">
        <w:rPr>
          <w:rFonts w:eastAsia="Times New Roman"/>
          <w:sz w:val="24"/>
          <w:szCs w:val="24"/>
        </w:rPr>
        <w:t xml:space="preserve"> </w:t>
      </w:r>
      <w:r w:rsidR="008C1406" w:rsidRPr="00F67028">
        <w:rPr>
          <w:i/>
          <w:iCs/>
          <w:sz w:val="24"/>
          <w:szCs w:val="24"/>
        </w:rPr>
        <w:t>People v Robinson</w:t>
      </w:r>
      <w:r w:rsidR="008C1406" w:rsidRPr="00F67028">
        <w:rPr>
          <w:sz w:val="24"/>
          <w:szCs w:val="24"/>
        </w:rPr>
        <w:t>, 17 NY3d 868, 870 [2011]</w:t>
      </w:r>
      <w:r w:rsidR="0065005E" w:rsidRPr="00F67028">
        <w:rPr>
          <w:sz w:val="24"/>
          <w:szCs w:val="24"/>
        </w:rPr>
        <w:t xml:space="preserve"> [the trial court</w:t>
      </w:r>
      <w:r w:rsidR="004265DB" w:rsidRPr="00F67028">
        <w:rPr>
          <w:sz w:val="24"/>
          <w:szCs w:val="24"/>
        </w:rPr>
        <w:t xml:space="preserve"> erred</w:t>
      </w:r>
      <w:r w:rsidR="0065005E" w:rsidRPr="00F67028">
        <w:rPr>
          <w:sz w:val="24"/>
          <w:szCs w:val="24"/>
        </w:rPr>
        <w:t xml:space="preserve"> “</w:t>
      </w:r>
      <w:r w:rsidR="008C1406" w:rsidRPr="00F67028">
        <w:rPr>
          <w:sz w:val="24"/>
          <w:szCs w:val="24"/>
        </w:rPr>
        <w:t>when it denied defendant an opportunity to explain fully the statements he made while in police</w:t>
      </w:r>
      <w:r w:rsidR="00507FB4" w:rsidRPr="00F67028">
        <w:rPr>
          <w:sz w:val="24"/>
          <w:szCs w:val="24"/>
        </w:rPr>
        <w:t xml:space="preserve"> custody</w:t>
      </w:r>
      <w:r w:rsidR="00F44337" w:rsidRPr="00F67028">
        <w:rPr>
          <w:sz w:val="24"/>
          <w:szCs w:val="24"/>
        </w:rPr>
        <w:t>”</w:t>
      </w:r>
      <w:r w:rsidR="00DE7CCA" w:rsidRPr="00F67028">
        <w:rPr>
          <w:sz w:val="24"/>
          <w:szCs w:val="24"/>
        </w:rPr>
        <w:t xml:space="preserve"> (</w:t>
      </w:r>
      <w:r w:rsidR="00F44337" w:rsidRPr="00F67028">
        <w:rPr>
          <w:sz w:val="24"/>
          <w:szCs w:val="24"/>
        </w:rPr>
        <w:t xml:space="preserve">i.e. to explain </w:t>
      </w:r>
      <w:r w:rsidR="00507FB4" w:rsidRPr="00F67028">
        <w:rPr>
          <w:sz w:val="24"/>
          <w:szCs w:val="24"/>
        </w:rPr>
        <w:t>what he meant</w:t>
      </w:r>
      <w:r w:rsidR="00DC3BEB" w:rsidRPr="00F67028">
        <w:rPr>
          <w:sz w:val="24"/>
          <w:szCs w:val="24"/>
        </w:rPr>
        <w:t xml:space="preserve"> by his statements</w:t>
      </w:r>
      <w:r w:rsidR="00DE7CCA" w:rsidRPr="00F67028">
        <w:rPr>
          <w:sz w:val="24"/>
          <w:szCs w:val="24"/>
        </w:rPr>
        <w:t>)</w:t>
      </w:r>
      <w:r w:rsidR="00B81E01" w:rsidRPr="00F67028">
        <w:rPr>
          <w:sz w:val="24"/>
          <w:szCs w:val="24"/>
        </w:rPr>
        <w:t>].)</w:t>
      </w:r>
    </w:p>
    <w:p w14:paraId="5B37D0FB" w14:textId="23526E90" w:rsidR="00F32B1C" w:rsidRPr="00F67028" w:rsidRDefault="00F32B1C"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40080F05" w14:textId="4D22F561" w:rsidR="009E6821" w:rsidRPr="00F67028" w:rsidRDefault="002A48FA"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F67028">
        <w:rPr>
          <w:b/>
          <w:bCs/>
          <w:sz w:val="24"/>
          <w:szCs w:val="24"/>
        </w:rPr>
        <w:tab/>
      </w:r>
      <w:r w:rsidR="009E6821" w:rsidRPr="00F67028">
        <w:rPr>
          <w:b/>
          <w:bCs/>
          <w:sz w:val="24"/>
          <w:szCs w:val="24"/>
        </w:rPr>
        <w:t>Subdivision (</w:t>
      </w:r>
      <w:r w:rsidR="00F32B1C" w:rsidRPr="00F67028">
        <w:rPr>
          <w:b/>
          <w:bCs/>
          <w:sz w:val="24"/>
          <w:szCs w:val="24"/>
        </w:rPr>
        <w:t>4</w:t>
      </w:r>
      <w:r w:rsidR="009E6821" w:rsidRPr="00F67028">
        <w:rPr>
          <w:b/>
          <w:bCs/>
          <w:sz w:val="24"/>
          <w:szCs w:val="24"/>
        </w:rPr>
        <w:t>)</w:t>
      </w:r>
      <w:r w:rsidR="001622F3" w:rsidRPr="00F67028">
        <w:rPr>
          <w:sz w:val="24"/>
          <w:szCs w:val="24"/>
        </w:rPr>
        <w:t>.</w:t>
      </w:r>
      <w:r w:rsidR="00E15EFB" w:rsidRPr="00F67028">
        <w:rPr>
          <w:sz w:val="24"/>
          <w:szCs w:val="24"/>
        </w:rPr>
        <w:t xml:space="preserve"> </w:t>
      </w:r>
      <w:bookmarkStart w:id="3" w:name="_Hlk119679833"/>
      <w:r w:rsidR="009E6821" w:rsidRPr="00F67028">
        <w:rPr>
          <w:sz w:val="24"/>
          <w:szCs w:val="24"/>
        </w:rPr>
        <w:t>The first portion of</w:t>
      </w:r>
      <w:r w:rsidR="009E6821" w:rsidRPr="00F67028">
        <w:rPr>
          <w:b/>
          <w:bCs/>
          <w:sz w:val="24"/>
          <w:szCs w:val="24"/>
        </w:rPr>
        <w:t xml:space="preserve"> </w:t>
      </w:r>
      <w:r w:rsidR="009E6821" w:rsidRPr="00F67028">
        <w:rPr>
          <w:sz w:val="24"/>
          <w:szCs w:val="24"/>
        </w:rPr>
        <w:t>subdivision (</w:t>
      </w:r>
      <w:r w:rsidR="00192D91" w:rsidRPr="00F67028">
        <w:rPr>
          <w:sz w:val="24"/>
          <w:szCs w:val="24"/>
        </w:rPr>
        <w:t>4</w:t>
      </w:r>
      <w:r w:rsidR="009E6821" w:rsidRPr="00F67028">
        <w:rPr>
          <w:sz w:val="24"/>
          <w:szCs w:val="24"/>
        </w:rPr>
        <w:t xml:space="preserve">) </w:t>
      </w:r>
      <w:bookmarkEnd w:id="3"/>
      <w:r w:rsidR="009E6821" w:rsidRPr="00F67028">
        <w:rPr>
          <w:sz w:val="24"/>
          <w:szCs w:val="24"/>
        </w:rPr>
        <w:t>is derived from Court of Appeals precedent that sets forth a rule against a party impeaching the party’s own witnesses upon any credibility ground, except as the rule has been statutorily modified with respect to impeachment by use of the witness’s prior inconsistent statement</w:t>
      </w:r>
      <w:r w:rsidR="001622F3" w:rsidRPr="00F67028">
        <w:rPr>
          <w:sz w:val="24"/>
          <w:szCs w:val="24"/>
        </w:rPr>
        <w:t xml:space="preserve">. </w:t>
      </w:r>
      <w:r w:rsidR="009E6821" w:rsidRPr="00F67028">
        <w:rPr>
          <w:sz w:val="24"/>
          <w:szCs w:val="24"/>
        </w:rPr>
        <w:t>(</w:t>
      </w:r>
      <w:r w:rsidR="009E6821" w:rsidRPr="00F67028">
        <w:rPr>
          <w:i/>
          <w:iCs/>
          <w:sz w:val="24"/>
          <w:szCs w:val="24"/>
        </w:rPr>
        <w:t xml:space="preserve">See </w:t>
      </w:r>
      <w:r w:rsidR="001622F3" w:rsidRPr="00F67028">
        <w:rPr>
          <w:i/>
          <w:iCs/>
          <w:sz w:val="24"/>
          <w:szCs w:val="24"/>
        </w:rPr>
        <w:t>e.g</w:t>
      </w:r>
      <w:r w:rsidR="00E15EFB" w:rsidRPr="00F67028">
        <w:rPr>
          <w:i/>
          <w:iCs/>
          <w:sz w:val="24"/>
          <w:szCs w:val="24"/>
        </w:rPr>
        <w:t>.</w:t>
      </w:r>
      <w:r w:rsidR="001622F3" w:rsidRPr="00F67028">
        <w:rPr>
          <w:i/>
          <w:iCs/>
          <w:sz w:val="24"/>
          <w:szCs w:val="24"/>
        </w:rPr>
        <w:t xml:space="preserve"> </w:t>
      </w:r>
      <w:r w:rsidR="009E6821" w:rsidRPr="00F67028">
        <w:rPr>
          <w:i/>
          <w:iCs/>
          <w:sz w:val="24"/>
          <w:szCs w:val="24"/>
        </w:rPr>
        <w:t>People v Fitzpatrick</w:t>
      </w:r>
      <w:r w:rsidR="009E6821" w:rsidRPr="00F67028">
        <w:rPr>
          <w:sz w:val="24"/>
          <w:szCs w:val="24"/>
        </w:rPr>
        <w:t xml:space="preserve">, 40 NY2d 44, 49-53 [1976]; </w:t>
      </w:r>
      <w:r w:rsidR="009E6821" w:rsidRPr="00F67028">
        <w:rPr>
          <w:i/>
          <w:iCs/>
          <w:sz w:val="24"/>
          <w:szCs w:val="24"/>
        </w:rPr>
        <w:t>Carlisle v Norris</w:t>
      </w:r>
      <w:r w:rsidR="009E6821" w:rsidRPr="00F67028">
        <w:rPr>
          <w:sz w:val="24"/>
          <w:szCs w:val="24"/>
        </w:rPr>
        <w:t xml:space="preserve">, 215 NY 400, 408-409 [1915]; </w:t>
      </w:r>
      <w:r w:rsidR="009E6821" w:rsidRPr="00F67028">
        <w:rPr>
          <w:i/>
          <w:iCs/>
          <w:sz w:val="24"/>
          <w:szCs w:val="24"/>
        </w:rPr>
        <w:t>Cross v Cross</w:t>
      </w:r>
      <w:r w:rsidR="009E6821" w:rsidRPr="00F67028">
        <w:rPr>
          <w:sz w:val="24"/>
          <w:szCs w:val="24"/>
        </w:rPr>
        <w:t xml:space="preserve">, 108 NY 628, 629 [1888] [rule </w:t>
      </w:r>
      <w:r w:rsidR="009E6821" w:rsidRPr="00F67028">
        <w:rPr>
          <w:sz w:val="24"/>
          <w:szCs w:val="24"/>
        </w:rPr>
        <w:lastRenderedPageBreak/>
        <w:t xml:space="preserve">is applicable when a party calls an adverse party]; </w:t>
      </w:r>
      <w:r w:rsidR="009E6821" w:rsidRPr="00F67028">
        <w:rPr>
          <w:i/>
          <w:iCs/>
          <w:sz w:val="24"/>
          <w:szCs w:val="24"/>
        </w:rPr>
        <w:t>Becker v Koch</w:t>
      </w:r>
      <w:r w:rsidR="009E6821" w:rsidRPr="00F67028">
        <w:rPr>
          <w:sz w:val="24"/>
          <w:szCs w:val="24"/>
        </w:rPr>
        <w:t>, 104 NY 394, 401-402 [1887].) This rule “descends to us from the ancient time when a party’s witnesses were brought into court not to swear to facts in a case but rather to a party’s own credibility</w:t>
      </w:r>
      <w:r w:rsidR="001622F3" w:rsidRPr="00F67028">
        <w:rPr>
          <w:sz w:val="24"/>
          <w:szCs w:val="24"/>
        </w:rPr>
        <w:t xml:space="preserve">. </w:t>
      </w:r>
      <w:r w:rsidR="009E6821" w:rsidRPr="00F67028">
        <w:rPr>
          <w:sz w:val="24"/>
          <w:szCs w:val="24"/>
        </w:rPr>
        <w:t>Not surprisingly, it then was considered ill befitting for a party to question the</w:t>
      </w:r>
      <w:r w:rsidR="00923D16" w:rsidRPr="00F67028">
        <w:rPr>
          <w:sz w:val="24"/>
          <w:szCs w:val="24"/>
        </w:rPr>
        <w:t xml:space="preserve"> veracity of his own witnesses.”</w:t>
      </w:r>
      <w:r w:rsidR="009E6821" w:rsidRPr="00F67028">
        <w:rPr>
          <w:sz w:val="24"/>
          <w:szCs w:val="24"/>
        </w:rPr>
        <w:t xml:space="preserve"> (</w:t>
      </w:r>
      <w:r w:rsidR="009E6821" w:rsidRPr="00F67028">
        <w:rPr>
          <w:i/>
          <w:iCs/>
          <w:sz w:val="24"/>
          <w:szCs w:val="24"/>
        </w:rPr>
        <w:t>Fitzpatrick</w:t>
      </w:r>
      <w:r w:rsidR="009E6821" w:rsidRPr="00F67028">
        <w:rPr>
          <w:sz w:val="24"/>
          <w:szCs w:val="24"/>
        </w:rPr>
        <w:t>, 40 NY2d at 49;</w:t>
      </w:r>
      <w:r w:rsidR="009E6821" w:rsidRPr="00F67028">
        <w:rPr>
          <w:i/>
          <w:iCs/>
          <w:sz w:val="24"/>
          <w:szCs w:val="24"/>
        </w:rPr>
        <w:t xml:space="preserve"> see also People v Minsky</w:t>
      </w:r>
      <w:r w:rsidR="009E6821" w:rsidRPr="00F67028">
        <w:rPr>
          <w:sz w:val="24"/>
          <w:szCs w:val="24"/>
        </w:rPr>
        <w:t>,</w:t>
      </w:r>
      <w:r w:rsidR="009E6821" w:rsidRPr="00F67028">
        <w:rPr>
          <w:i/>
          <w:iCs/>
          <w:sz w:val="24"/>
          <w:szCs w:val="24"/>
        </w:rPr>
        <w:t xml:space="preserve"> </w:t>
      </w:r>
      <w:r w:rsidR="009E6821" w:rsidRPr="00F67028">
        <w:rPr>
          <w:sz w:val="24"/>
          <w:szCs w:val="24"/>
        </w:rPr>
        <w:t>227 NY 94, 99-100 [1919]</w:t>
      </w:r>
      <w:r w:rsidR="009E6821" w:rsidRPr="00F67028">
        <w:rPr>
          <w:i/>
          <w:iCs/>
          <w:sz w:val="24"/>
          <w:szCs w:val="24"/>
        </w:rPr>
        <w:t xml:space="preserve"> </w:t>
      </w:r>
      <w:r w:rsidR="009E6821" w:rsidRPr="00F67028">
        <w:rPr>
          <w:sz w:val="24"/>
          <w:szCs w:val="24"/>
        </w:rPr>
        <w:t>[“A party should not be permitted, after having unsuccessfully taken a chance to secure favorable testimony, to attack his own witness and ask the jury to infer the contrary of what has been sworn to, because the falsity of the evidence is to be presumed from the general character of the witness</w:t>
      </w:r>
      <w:r w:rsidR="00923D16" w:rsidRPr="00F67028">
        <w:rPr>
          <w:sz w:val="24"/>
          <w:szCs w:val="24"/>
        </w:rPr>
        <w:t>”</w:t>
      </w:r>
      <w:r w:rsidR="009E6821" w:rsidRPr="00F67028">
        <w:rPr>
          <w:sz w:val="24"/>
          <w:szCs w:val="24"/>
        </w:rPr>
        <w:t xml:space="preserve">]; </w:t>
      </w:r>
      <w:r w:rsidR="009E6821" w:rsidRPr="00F67028">
        <w:rPr>
          <w:i/>
          <w:iCs/>
          <w:sz w:val="24"/>
          <w:szCs w:val="24"/>
        </w:rPr>
        <w:t>Carlisle</w:t>
      </w:r>
      <w:r w:rsidR="009E6821" w:rsidRPr="00F67028">
        <w:rPr>
          <w:sz w:val="24"/>
          <w:szCs w:val="24"/>
        </w:rPr>
        <w:t>,</w:t>
      </w:r>
      <w:r w:rsidR="009E6821" w:rsidRPr="00F67028">
        <w:rPr>
          <w:i/>
          <w:iCs/>
          <w:sz w:val="24"/>
          <w:szCs w:val="24"/>
        </w:rPr>
        <w:t xml:space="preserve"> </w:t>
      </w:r>
      <w:r w:rsidR="009E6821" w:rsidRPr="00F67028">
        <w:rPr>
          <w:sz w:val="24"/>
          <w:szCs w:val="24"/>
        </w:rPr>
        <w:t>215 NY at 409 [by calling a witness the party “vouched for his reliability and credibility”].)</w:t>
      </w:r>
    </w:p>
    <w:p w14:paraId="1034FAAD" w14:textId="77777777" w:rsidR="009E6821" w:rsidRPr="00F67028" w:rsidRDefault="009E6821"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5B8179BD" w14:textId="70B5D5B9" w:rsidR="009E6821" w:rsidRPr="00F67028" w:rsidRDefault="009E6821" w:rsidP="00372E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F67028">
        <w:rPr>
          <w:sz w:val="24"/>
          <w:szCs w:val="24"/>
        </w:rPr>
        <w:tab/>
        <w:t>The remaining portions of the subdivision are also derived from Court of Appeals precedent</w:t>
      </w:r>
      <w:r w:rsidR="001622F3" w:rsidRPr="00F67028">
        <w:rPr>
          <w:sz w:val="24"/>
          <w:szCs w:val="24"/>
        </w:rPr>
        <w:t xml:space="preserve">. </w:t>
      </w:r>
      <w:r w:rsidRPr="00F67028">
        <w:rPr>
          <w:sz w:val="24"/>
          <w:szCs w:val="24"/>
        </w:rPr>
        <w:t>Thus, the Court has cautioned that the party is not bound by the testimony of a witness the party calls and that the party may always contradict the witness’s testimony on a relevant issue by proof from other sources</w:t>
      </w:r>
      <w:r w:rsidR="001622F3" w:rsidRPr="00F67028">
        <w:rPr>
          <w:sz w:val="24"/>
          <w:szCs w:val="24"/>
        </w:rPr>
        <w:t xml:space="preserve">. </w:t>
      </w:r>
      <w:r w:rsidRPr="00F67028">
        <w:rPr>
          <w:sz w:val="24"/>
          <w:szCs w:val="24"/>
        </w:rPr>
        <w:t>(</w:t>
      </w:r>
      <w:r w:rsidRPr="00F67028">
        <w:rPr>
          <w:i/>
          <w:iCs/>
          <w:sz w:val="24"/>
          <w:szCs w:val="24"/>
        </w:rPr>
        <w:t>See Spampinato v A.B.C. Consol. Corp</w:t>
      </w:r>
      <w:r w:rsidRPr="00F67028">
        <w:rPr>
          <w:sz w:val="24"/>
          <w:szCs w:val="24"/>
        </w:rPr>
        <w:t xml:space="preserve">., 35 NY2d 283, 287 [1974]; </w:t>
      </w:r>
      <w:r w:rsidRPr="00F67028">
        <w:rPr>
          <w:i/>
          <w:iCs/>
          <w:sz w:val="24"/>
          <w:szCs w:val="24"/>
        </w:rPr>
        <w:t>Carlisle</w:t>
      </w:r>
      <w:r w:rsidRPr="00F67028">
        <w:rPr>
          <w:sz w:val="24"/>
          <w:szCs w:val="24"/>
        </w:rPr>
        <w:t>, 215 NY at 410</w:t>
      </w:r>
      <w:r w:rsidRPr="00F67028">
        <w:rPr>
          <w:i/>
          <w:iCs/>
          <w:sz w:val="24"/>
          <w:szCs w:val="24"/>
        </w:rPr>
        <w:t xml:space="preserve"> </w:t>
      </w:r>
      <w:r w:rsidRPr="00F67028">
        <w:rPr>
          <w:sz w:val="24"/>
          <w:szCs w:val="24"/>
        </w:rPr>
        <w:t>[rule does not prevent the party from asking to have the “truthfulness or accuracy” of the witness’s testimony submitted to the jury].) The Court has also held the rule against impeaching the party’s own witness does not prohibit a party from preemptively bringing out on direct examination facts to take the “sting” out of an expected cross-examination</w:t>
      </w:r>
      <w:r w:rsidR="001622F3" w:rsidRPr="00F67028">
        <w:rPr>
          <w:sz w:val="24"/>
          <w:szCs w:val="24"/>
        </w:rPr>
        <w:t xml:space="preserve">. </w:t>
      </w:r>
      <w:r w:rsidRPr="00F67028">
        <w:rPr>
          <w:sz w:val="24"/>
          <w:szCs w:val="24"/>
        </w:rPr>
        <w:t>(</w:t>
      </w:r>
      <w:r w:rsidRPr="00F67028">
        <w:rPr>
          <w:i/>
          <w:iCs/>
          <w:sz w:val="24"/>
          <w:szCs w:val="24"/>
        </w:rPr>
        <w:t>See Minsky</w:t>
      </w:r>
      <w:r w:rsidRPr="00F67028">
        <w:rPr>
          <w:sz w:val="24"/>
          <w:szCs w:val="24"/>
        </w:rPr>
        <w:t>, 227 NY at 98 [“The law does not . . . compel a party to conceal the bad record of his witnesses from the jury, to have it afterwards revealed by the opposing party with telling effect</w:t>
      </w:r>
      <w:r w:rsidR="001622F3" w:rsidRPr="00F67028">
        <w:rPr>
          <w:sz w:val="24"/>
          <w:szCs w:val="24"/>
        </w:rPr>
        <w:t xml:space="preserve">. </w:t>
      </w:r>
      <w:r w:rsidRPr="00F67028">
        <w:rPr>
          <w:sz w:val="24"/>
          <w:szCs w:val="24"/>
        </w:rPr>
        <w:t>Such a rule would be unfair alike to the party calling the witness and the jury”].)</w:t>
      </w:r>
    </w:p>
    <w:sectPr w:rsidR="009E6821" w:rsidRPr="00F67028" w:rsidSect="00372EAB">
      <w:footerReference w:type="default" r:id="rId7"/>
      <w:endnotePr>
        <w:numFmt w:val="decimal"/>
      </w:endnotePr>
      <w:type w:val="continuous"/>
      <w:pgSz w:w="12240" w:h="15840"/>
      <w:pgMar w:top="1440" w:right="2160" w:bottom="1440" w:left="216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B902" w14:textId="77777777" w:rsidR="001D5230" w:rsidRDefault="001D5230">
      <w:r>
        <w:separator/>
      </w:r>
    </w:p>
  </w:endnote>
  <w:endnote w:type="continuationSeparator" w:id="0">
    <w:p w14:paraId="59E62169" w14:textId="77777777" w:rsidR="001D5230" w:rsidRDefault="001D5230">
      <w:r>
        <w:continuationSeparator/>
      </w:r>
    </w:p>
  </w:endnote>
  <w:endnote w:type="continuationNotice" w:id="1">
    <w:p w14:paraId="4F07507A" w14:textId="77777777" w:rsidR="001D5230" w:rsidRDefault="001D5230"/>
  </w:endnote>
  <w:endnote w:id="2">
    <w:p w14:paraId="4D6C27B7" w14:textId="4D01B34E" w:rsidR="00E37641" w:rsidRPr="00F67028" w:rsidRDefault="00E37641">
      <w:pPr>
        <w:pStyle w:val="EndnoteText"/>
      </w:pPr>
      <w:r w:rsidRPr="00F67028">
        <w:rPr>
          <w:rStyle w:val="EndnoteReference"/>
        </w:rPr>
        <w:endnoteRef/>
      </w:r>
      <w:r w:rsidRPr="00F67028">
        <w:t xml:space="preserve"> </w:t>
      </w:r>
      <w:r w:rsidR="00720A59">
        <w:t xml:space="preserve">In December 2022, the rule was amended to expand subdivision (2), add a new subdivision (3), and </w:t>
      </w:r>
      <w:r w:rsidR="00720A59" w:rsidRPr="00720A59">
        <w:t>renumbered the former subdivision (3) to be </w:t>
      </w:r>
      <w:r w:rsidR="00720A59">
        <w:t>subdivision (4); and the Note was substantially expanded.”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84C2" w14:textId="77777777" w:rsidR="00C65916" w:rsidRDefault="00C65916" w:rsidP="00923D16">
    <w:pPr>
      <w:pStyle w:val="Footer"/>
      <w:jc w:val="center"/>
    </w:pPr>
    <w:r>
      <w:fldChar w:fldCharType="begin"/>
    </w:r>
    <w:r>
      <w:instrText xml:space="preserve"> PAGE   \* MERGEFORMAT </w:instrText>
    </w:r>
    <w:r>
      <w:fldChar w:fldCharType="separate"/>
    </w:r>
    <w:r w:rsidR="007B18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526B" w14:textId="77777777" w:rsidR="001D5230" w:rsidRDefault="001D5230">
      <w:r>
        <w:separator/>
      </w:r>
    </w:p>
  </w:footnote>
  <w:footnote w:type="continuationSeparator" w:id="0">
    <w:p w14:paraId="1B46FF8F" w14:textId="77777777" w:rsidR="001D5230" w:rsidRDefault="001D5230">
      <w:r>
        <w:continuationSeparator/>
      </w:r>
    </w:p>
  </w:footnote>
  <w:footnote w:type="continuationNotice" w:id="1">
    <w:p w14:paraId="21CE48B5" w14:textId="77777777" w:rsidR="001D5230" w:rsidRDefault="001D52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zMzQzMTW2MDIzMTZT0lEKTi0uzszPAykwrwUAy1rKQCwAAAA="/>
  </w:docVars>
  <w:rsids>
    <w:rsidRoot w:val="00C65916"/>
    <w:rsid w:val="00002BFE"/>
    <w:rsid w:val="00013D55"/>
    <w:rsid w:val="000503DE"/>
    <w:rsid w:val="0005477F"/>
    <w:rsid w:val="00054E61"/>
    <w:rsid w:val="00067CB7"/>
    <w:rsid w:val="0007038A"/>
    <w:rsid w:val="0009117E"/>
    <w:rsid w:val="00094A0A"/>
    <w:rsid w:val="000A4F55"/>
    <w:rsid w:val="000B527E"/>
    <w:rsid w:val="000C09CD"/>
    <w:rsid w:val="000D0E82"/>
    <w:rsid w:val="000E1170"/>
    <w:rsid w:val="000E6F1C"/>
    <w:rsid w:val="001014CD"/>
    <w:rsid w:val="001204AA"/>
    <w:rsid w:val="00131BAF"/>
    <w:rsid w:val="0015311F"/>
    <w:rsid w:val="001622F3"/>
    <w:rsid w:val="00164DB8"/>
    <w:rsid w:val="0016592B"/>
    <w:rsid w:val="00192D91"/>
    <w:rsid w:val="001B1335"/>
    <w:rsid w:val="001B5337"/>
    <w:rsid w:val="001D5230"/>
    <w:rsid w:val="001E2963"/>
    <w:rsid w:val="001E3624"/>
    <w:rsid w:val="001F033B"/>
    <w:rsid w:val="001F3038"/>
    <w:rsid w:val="001F785A"/>
    <w:rsid w:val="00205831"/>
    <w:rsid w:val="00223BB5"/>
    <w:rsid w:val="002361B5"/>
    <w:rsid w:val="00280EE1"/>
    <w:rsid w:val="002914A0"/>
    <w:rsid w:val="002A0EB7"/>
    <w:rsid w:val="002A48FA"/>
    <w:rsid w:val="002C6CB0"/>
    <w:rsid w:val="002D15DD"/>
    <w:rsid w:val="002E20D8"/>
    <w:rsid w:val="002E6080"/>
    <w:rsid w:val="002E6CAF"/>
    <w:rsid w:val="002F6226"/>
    <w:rsid w:val="00301474"/>
    <w:rsid w:val="003112D0"/>
    <w:rsid w:val="003248A0"/>
    <w:rsid w:val="00350151"/>
    <w:rsid w:val="003626F8"/>
    <w:rsid w:val="00366BA6"/>
    <w:rsid w:val="00372EAB"/>
    <w:rsid w:val="0037627C"/>
    <w:rsid w:val="00377402"/>
    <w:rsid w:val="003901C3"/>
    <w:rsid w:val="00390F49"/>
    <w:rsid w:val="003E5BAA"/>
    <w:rsid w:val="003E7F5A"/>
    <w:rsid w:val="004050D4"/>
    <w:rsid w:val="004265DB"/>
    <w:rsid w:val="00434B83"/>
    <w:rsid w:val="00462FF9"/>
    <w:rsid w:val="004E650A"/>
    <w:rsid w:val="00505ED3"/>
    <w:rsid w:val="00507FB4"/>
    <w:rsid w:val="005169C7"/>
    <w:rsid w:val="00516DBB"/>
    <w:rsid w:val="00520731"/>
    <w:rsid w:val="005259BC"/>
    <w:rsid w:val="00537498"/>
    <w:rsid w:val="00543F78"/>
    <w:rsid w:val="00567EA0"/>
    <w:rsid w:val="0057647C"/>
    <w:rsid w:val="00583FFC"/>
    <w:rsid w:val="00584987"/>
    <w:rsid w:val="00594381"/>
    <w:rsid w:val="005B64C5"/>
    <w:rsid w:val="005B7576"/>
    <w:rsid w:val="005C269D"/>
    <w:rsid w:val="005C4B0D"/>
    <w:rsid w:val="005D4F10"/>
    <w:rsid w:val="005D73BC"/>
    <w:rsid w:val="005E0030"/>
    <w:rsid w:val="005E4396"/>
    <w:rsid w:val="006221D0"/>
    <w:rsid w:val="00627392"/>
    <w:rsid w:val="00641E98"/>
    <w:rsid w:val="00642694"/>
    <w:rsid w:val="0065005E"/>
    <w:rsid w:val="00664E8E"/>
    <w:rsid w:val="00667C32"/>
    <w:rsid w:val="006805A9"/>
    <w:rsid w:val="0068367E"/>
    <w:rsid w:val="006849AD"/>
    <w:rsid w:val="0068544E"/>
    <w:rsid w:val="006B466D"/>
    <w:rsid w:val="006B60B2"/>
    <w:rsid w:val="006B6A15"/>
    <w:rsid w:val="006E3763"/>
    <w:rsid w:val="006E636D"/>
    <w:rsid w:val="006F7153"/>
    <w:rsid w:val="0071215C"/>
    <w:rsid w:val="00720A59"/>
    <w:rsid w:val="007255DF"/>
    <w:rsid w:val="0072626E"/>
    <w:rsid w:val="00736223"/>
    <w:rsid w:val="007546A3"/>
    <w:rsid w:val="0077628D"/>
    <w:rsid w:val="007872FB"/>
    <w:rsid w:val="007962B2"/>
    <w:rsid w:val="007A3112"/>
    <w:rsid w:val="007B1879"/>
    <w:rsid w:val="007B7CB8"/>
    <w:rsid w:val="00816DF4"/>
    <w:rsid w:val="00832CAC"/>
    <w:rsid w:val="00837842"/>
    <w:rsid w:val="00844255"/>
    <w:rsid w:val="00870F1F"/>
    <w:rsid w:val="0088431D"/>
    <w:rsid w:val="008B10B2"/>
    <w:rsid w:val="008B3024"/>
    <w:rsid w:val="008B4D4E"/>
    <w:rsid w:val="008C1406"/>
    <w:rsid w:val="008C5471"/>
    <w:rsid w:val="008D45A7"/>
    <w:rsid w:val="008D6B12"/>
    <w:rsid w:val="008E1977"/>
    <w:rsid w:val="008E1BEC"/>
    <w:rsid w:val="008F0A2E"/>
    <w:rsid w:val="008F0C3F"/>
    <w:rsid w:val="00923D16"/>
    <w:rsid w:val="00943E18"/>
    <w:rsid w:val="009658D2"/>
    <w:rsid w:val="009672AF"/>
    <w:rsid w:val="009743AF"/>
    <w:rsid w:val="00975A80"/>
    <w:rsid w:val="00986D27"/>
    <w:rsid w:val="009A41DB"/>
    <w:rsid w:val="009A5F53"/>
    <w:rsid w:val="009A615D"/>
    <w:rsid w:val="009B1688"/>
    <w:rsid w:val="009B658C"/>
    <w:rsid w:val="009C5F70"/>
    <w:rsid w:val="009E6821"/>
    <w:rsid w:val="009F2A28"/>
    <w:rsid w:val="00A11260"/>
    <w:rsid w:val="00A44B4B"/>
    <w:rsid w:val="00A50FEA"/>
    <w:rsid w:val="00A5544E"/>
    <w:rsid w:val="00A705AB"/>
    <w:rsid w:val="00A741EF"/>
    <w:rsid w:val="00A80CDC"/>
    <w:rsid w:val="00A95ED0"/>
    <w:rsid w:val="00AA0B45"/>
    <w:rsid w:val="00AA6668"/>
    <w:rsid w:val="00AB4C0B"/>
    <w:rsid w:val="00AE4ECA"/>
    <w:rsid w:val="00AE55C8"/>
    <w:rsid w:val="00B05E83"/>
    <w:rsid w:val="00B07D9E"/>
    <w:rsid w:val="00B61B4F"/>
    <w:rsid w:val="00B627C1"/>
    <w:rsid w:val="00B66E79"/>
    <w:rsid w:val="00B700F7"/>
    <w:rsid w:val="00B74309"/>
    <w:rsid w:val="00B77821"/>
    <w:rsid w:val="00B81E01"/>
    <w:rsid w:val="00B841E0"/>
    <w:rsid w:val="00B92AA6"/>
    <w:rsid w:val="00B96C1D"/>
    <w:rsid w:val="00BB30C9"/>
    <w:rsid w:val="00BD4F5E"/>
    <w:rsid w:val="00C07868"/>
    <w:rsid w:val="00C14028"/>
    <w:rsid w:val="00C56484"/>
    <w:rsid w:val="00C5765A"/>
    <w:rsid w:val="00C65916"/>
    <w:rsid w:val="00C70F7A"/>
    <w:rsid w:val="00C71F8A"/>
    <w:rsid w:val="00C8233B"/>
    <w:rsid w:val="00CA14E9"/>
    <w:rsid w:val="00CA22CC"/>
    <w:rsid w:val="00CD6907"/>
    <w:rsid w:val="00CE13DA"/>
    <w:rsid w:val="00D023CC"/>
    <w:rsid w:val="00D066D2"/>
    <w:rsid w:val="00D16DE7"/>
    <w:rsid w:val="00D23713"/>
    <w:rsid w:val="00D2677C"/>
    <w:rsid w:val="00D41B2D"/>
    <w:rsid w:val="00D52620"/>
    <w:rsid w:val="00D54259"/>
    <w:rsid w:val="00D8600A"/>
    <w:rsid w:val="00D97CBF"/>
    <w:rsid w:val="00DA0E8D"/>
    <w:rsid w:val="00DB6690"/>
    <w:rsid w:val="00DC3BEB"/>
    <w:rsid w:val="00DC4388"/>
    <w:rsid w:val="00DE7CCA"/>
    <w:rsid w:val="00DF4307"/>
    <w:rsid w:val="00E027B7"/>
    <w:rsid w:val="00E06F46"/>
    <w:rsid w:val="00E07A03"/>
    <w:rsid w:val="00E15EFB"/>
    <w:rsid w:val="00E24BCD"/>
    <w:rsid w:val="00E33CC3"/>
    <w:rsid w:val="00E37641"/>
    <w:rsid w:val="00E40A9A"/>
    <w:rsid w:val="00E445F4"/>
    <w:rsid w:val="00E554D7"/>
    <w:rsid w:val="00E87568"/>
    <w:rsid w:val="00E87A3B"/>
    <w:rsid w:val="00EA6D89"/>
    <w:rsid w:val="00EB2073"/>
    <w:rsid w:val="00EC7FCF"/>
    <w:rsid w:val="00EE1FA8"/>
    <w:rsid w:val="00EE5BAD"/>
    <w:rsid w:val="00F01063"/>
    <w:rsid w:val="00F01CD9"/>
    <w:rsid w:val="00F07179"/>
    <w:rsid w:val="00F32B1C"/>
    <w:rsid w:val="00F44337"/>
    <w:rsid w:val="00F45182"/>
    <w:rsid w:val="00F524A1"/>
    <w:rsid w:val="00F67028"/>
    <w:rsid w:val="00F768DC"/>
    <w:rsid w:val="00F900B0"/>
    <w:rsid w:val="00F918B5"/>
    <w:rsid w:val="00F93901"/>
    <w:rsid w:val="00FA2FE5"/>
    <w:rsid w:val="00FB3D6B"/>
    <w:rsid w:val="00FB5F28"/>
    <w:rsid w:val="00FC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C6E0D"/>
  <w14:defaultImageDpi w14:val="0"/>
  <w15:docId w15:val="{59F8B346-AB12-47D6-A3B6-13E9FAFF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7920"/>
      </w:tabs>
      <w:jc w:val="both"/>
    </w:pPr>
    <w:rPr>
      <w:rFonts w:ascii="Calibri" w:hAnsi="Calibri" w:cs="Calibri"/>
      <w:sz w:val="22"/>
      <w:szCs w:val="22"/>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unhideWhenUsed/>
    <w:rsid w:val="00C65916"/>
    <w:pPr>
      <w:tabs>
        <w:tab w:val="center" w:pos="4680"/>
        <w:tab w:val="right" w:pos="9360"/>
      </w:tabs>
    </w:pPr>
  </w:style>
  <w:style w:type="character" w:customStyle="1" w:styleId="FooterChar">
    <w:name w:val="Footer Char"/>
    <w:basedOn w:val="DefaultParagraphFont"/>
    <w:link w:val="Footer"/>
    <w:uiPriority w:val="99"/>
    <w:locked/>
    <w:rsid w:val="00C65916"/>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3112D0"/>
  </w:style>
  <w:style w:type="character" w:customStyle="1" w:styleId="EndnoteTextChar">
    <w:name w:val="Endnote Text Char"/>
    <w:basedOn w:val="DefaultParagraphFont"/>
    <w:link w:val="EndnoteText"/>
    <w:uiPriority w:val="99"/>
    <w:semiHidden/>
    <w:rsid w:val="003112D0"/>
    <w:rPr>
      <w:rFonts w:ascii="Times New Roman" w:hAnsi="Times New Roman"/>
      <w:sz w:val="20"/>
      <w:szCs w:val="20"/>
    </w:rPr>
  </w:style>
  <w:style w:type="character" w:styleId="EndnoteReference">
    <w:name w:val="endnote reference"/>
    <w:basedOn w:val="DefaultParagraphFont"/>
    <w:uiPriority w:val="99"/>
    <w:semiHidden/>
    <w:unhideWhenUsed/>
    <w:rsid w:val="003112D0"/>
    <w:rPr>
      <w:vertAlign w:val="superscript"/>
    </w:rPr>
  </w:style>
  <w:style w:type="character" w:styleId="CommentReference">
    <w:name w:val="annotation reference"/>
    <w:basedOn w:val="DefaultParagraphFont"/>
    <w:uiPriority w:val="99"/>
    <w:semiHidden/>
    <w:unhideWhenUsed/>
    <w:rsid w:val="00AB4C0B"/>
    <w:rPr>
      <w:sz w:val="16"/>
      <w:szCs w:val="16"/>
    </w:rPr>
  </w:style>
  <w:style w:type="paragraph" w:styleId="CommentText">
    <w:name w:val="annotation text"/>
    <w:basedOn w:val="Normal"/>
    <w:link w:val="CommentTextChar"/>
    <w:uiPriority w:val="99"/>
    <w:semiHidden/>
    <w:unhideWhenUsed/>
    <w:rsid w:val="00AB4C0B"/>
  </w:style>
  <w:style w:type="character" w:customStyle="1" w:styleId="CommentTextChar">
    <w:name w:val="Comment Text Char"/>
    <w:basedOn w:val="DefaultParagraphFont"/>
    <w:link w:val="CommentText"/>
    <w:uiPriority w:val="99"/>
    <w:semiHidden/>
    <w:rsid w:val="00AB4C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4C0B"/>
    <w:rPr>
      <w:b/>
      <w:bCs/>
    </w:rPr>
  </w:style>
  <w:style w:type="character" w:customStyle="1" w:styleId="CommentSubjectChar">
    <w:name w:val="Comment Subject Char"/>
    <w:basedOn w:val="CommentTextChar"/>
    <w:link w:val="CommentSubject"/>
    <w:uiPriority w:val="99"/>
    <w:semiHidden/>
    <w:rsid w:val="00AB4C0B"/>
    <w:rPr>
      <w:rFonts w:ascii="Times New Roman" w:hAnsi="Times New Roman"/>
      <w:b/>
      <w:bCs/>
      <w:sz w:val="20"/>
      <w:szCs w:val="20"/>
    </w:rPr>
  </w:style>
  <w:style w:type="character" w:styleId="Hyperlink">
    <w:name w:val="Hyperlink"/>
    <w:basedOn w:val="DefaultParagraphFont"/>
    <w:uiPriority w:val="99"/>
    <w:unhideWhenUsed/>
    <w:rsid w:val="00462FF9"/>
    <w:rPr>
      <w:color w:val="0563C1" w:themeColor="hyperlink"/>
      <w:u w:val="single"/>
    </w:rPr>
  </w:style>
  <w:style w:type="character" w:styleId="UnresolvedMention">
    <w:name w:val="Unresolved Mention"/>
    <w:basedOn w:val="DefaultParagraphFont"/>
    <w:uiPriority w:val="99"/>
    <w:semiHidden/>
    <w:unhideWhenUsed/>
    <w:rsid w:val="00462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273">
      <w:bodyDiv w:val="1"/>
      <w:marLeft w:val="0"/>
      <w:marRight w:val="0"/>
      <w:marTop w:val="0"/>
      <w:marBottom w:val="0"/>
      <w:divBdr>
        <w:top w:val="none" w:sz="0" w:space="0" w:color="auto"/>
        <w:left w:val="none" w:sz="0" w:space="0" w:color="auto"/>
        <w:bottom w:val="none" w:sz="0" w:space="0" w:color="auto"/>
        <w:right w:val="none" w:sz="0" w:space="0" w:color="auto"/>
      </w:divBdr>
    </w:div>
    <w:div w:id="945963452">
      <w:bodyDiv w:val="1"/>
      <w:marLeft w:val="0"/>
      <w:marRight w:val="0"/>
      <w:marTop w:val="0"/>
      <w:marBottom w:val="0"/>
      <w:divBdr>
        <w:top w:val="none" w:sz="0" w:space="0" w:color="auto"/>
        <w:left w:val="none" w:sz="0" w:space="0" w:color="auto"/>
        <w:bottom w:val="none" w:sz="0" w:space="0" w:color="auto"/>
        <w:right w:val="none" w:sz="0" w:space="0" w:color="auto"/>
      </w:divBdr>
      <w:divsChild>
        <w:div w:id="1695618468">
          <w:marLeft w:val="0"/>
          <w:marRight w:val="0"/>
          <w:marTop w:val="0"/>
          <w:marBottom w:val="0"/>
          <w:divBdr>
            <w:top w:val="none" w:sz="0" w:space="0" w:color="auto"/>
            <w:left w:val="none" w:sz="0" w:space="0" w:color="auto"/>
            <w:bottom w:val="none" w:sz="0" w:space="0" w:color="auto"/>
            <w:right w:val="none" w:sz="0" w:space="0" w:color="auto"/>
          </w:divBdr>
          <w:divsChild>
            <w:div w:id="121579765">
              <w:marLeft w:val="0"/>
              <w:marRight w:val="0"/>
              <w:marTop w:val="0"/>
              <w:marBottom w:val="0"/>
              <w:divBdr>
                <w:top w:val="none" w:sz="0" w:space="0" w:color="auto"/>
                <w:left w:val="none" w:sz="0" w:space="0" w:color="auto"/>
                <w:bottom w:val="none" w:sz="0" w:space="0" w:color="auto"/>
                <w:right w:val="none" w:sz="0" w:space="0" w:color="auto"/>
              </w:divBdr>
              <w:divsChild>
                <w:div w:id="2448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2245">
      <w:bodyDiv w:val="1"/>
      <w:marLeft w:val="0"/>
      <w:marRight w:val="0"/>
      <w:marTop w:val="0"/>
      <w:marBottom w:val="0"/>
      <w:divBdr>
        <w:top w:val="none" w:sz="0" w:space="0" w:color="auto"/>
        <w:left w:val="none" w:sz="0" w:space="0" w:color="auto"/>
        <w:bottom w:val="none" w:sz="0" w:space="0" w:color="auto"/>
        <w:right w:val="none" w:sz="0" w:space="0" w:color="auto"/>
      </w:divBdr>
      <w:divsChild>
        <w:div w:id="271204161">
          <w:marLeft w:val="0"/>
          <w:marRight w:val="0"/>
          <w:marTop w:val="0"/>
          <w:marBottom w:val="0"/>
          <w:divBdr>
            <w:top w:val="none" w:sz="0" w:space="0" w:color="auto"/>
            <w:left w:val="none" w:sz="0" w:space="0" w:color="auto"/>
            <w:bottom w:val="none" w:sz="0" w:space="0" w:color="auto"/>
            <w:right w:val="none" w:sz="0" w:space="0" w:color="auto"/>
          </w:divBdr>
          <w:divsChild>
            <w:div w:id="1599018489">
              <w:marLeft w:val="0"/>
              <w:marRight w:val="0"/>
              <w:marTop w:val="0"/>
              <w:marBottom w:val="0"/>
              <w:divBdr>
                <w:top w:val="none" w:sz="0" w:space="0" w:color="auto"/>
                <w:left w:val="none" w:sz="0" w:space="0" w:color="auto"/>
                <w:bottom w:val="none" w:sz="0" w:space="0" w:color="auto"/>
                <w:right w:val="none" w:sz="0" w:space="0" w:color="auto"/>
              </w:divBdr>
              <w:divsChild>
                <w:div w:id="18892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7200">
      <w:bodyDiv w:val="1"/>
      <w:marLeft w:val="0"/>
      <w:marRight w:val="0"/>
      <w:marTop w:val="0"/>
      <w:marBottom w:val="0"/>
      <w:divBdr>
        <w:top w:val="none" w:sz="0" w:space="0" w:color="auto"/>
        <w:left w:val="none" w:sz="0" w:space="0" w:color="auto"/>
        <w:bottom w:val="none" w:sz="0" w:space="0" w:color="auto"/>
        <w:right w:val="none" w:sz="0" w:space="0" w:color="auto"/>
      </w:divBdr>
      <w:divsChild>
        <w:div w:id="1219781707">
          <w:marLeft w:val="0"/>
          <w:marRight w:val="0"/>
          <w:marTop w:val="0"/>
          <w:marBottom w:val="0"/>
          <w:divBdr>
            <w:top w:val="none" w:sz="0" w:space="0" w:color="auto"/>
            <w:left w:val="none" w:sz="0" w:space="0" w:color="auto"/>
            <w:bottom w:val="none" w:sz="0" w:space="0" w:color="auto"/>
            <w:right w:val="none" w:sz="0" w:space="0" w:color="auto"/>
          </w:divBdr>
          <w:divsChild>
            <w:div w:id="1567572872">
              <w:marLeft w:val="0"/>
              <w:marRight w:val="0"/>
              <w:marTop w:val="0"/>
              <w:marBottom w:val="0"/>
              <w:divBdr>
                <w:top w:val="none" w:sz="0" w:space="0" w:color="auto"/>
                <w:left w:val="none" w:sz="0" w:space="0" w:color="auto"/>
                <w:bottom w:val="none" w:sz="0" w:space="0" w:color="auto"/>
                <w:right w:val="none" w:sz="0" w:space="0" w:color="auto"/>
              </w:divBdr>
              <w:divsChild>
                <w:div w:id="13794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5486">
      <w:bodyDiv w:val="1"/>
      <w:marLeft w:val="0"/>
      <w:marRight w:val="0"/>
      <w:marTop w:val="0"/>
      <w:marBottom w:val="0"/>
      <w:divBdr>
        <w:top w:val="none" w:sz="0" w:space="0" w:color="auto"/>
        <w:left w:val="none" w:sz="0" w:space="0" w:color="auto"/>
        <w:bottom w:val="none" w:sz="0" w:space="0" w:color="auto"/>
        <w:right w:val="none" w:sz="0" w:space="0" w:color="auto"/>
      </w:divBdr>
      <w:divsChild>
        <w:div w:id="1699164973">
          <w:marLeft w:val="0"/>
          <w:marRight w:val="0"/>
          <w:marTop w:val="0"/>
          <w:marBottom w:val="0"/>
          <w:divBdr>
            <w:top w:val="none" w:sz="0" w:space="0" w:color="auto"/>
            <w:left w:val="none" w:sz="0" w:space="0" w:color="auto"/>
            <w:bottom w:val="none" w:sz="0" w:space="0" w:color="auto"/>
            <w:right w:val="none" w:sz="0" w:space="0" w:color="auto"/>
          </w:divBdr>
          <w:divsChild>
            <w:div w:id="1238436420">
              <w:marLeft w:val="0"/>
              <w:marRight w:val="0"/>
              <w:marTop w:val="0"/>
              <w:marBottom w:val="0"/>
              <w:divBdr>
                <w:top w:val="none" w:sz="0" w:space="0" w:color="auto"/>
                <w:left w:val="none" w:sz="0" w:space="0" w:color="auto"/>
                <w:bottom w:val="none" w:sz="0" w:space="0" w:color="auto"/>
                <w:right w:val="none" w:sz="0" w:space="0" w:color="auto"/>
              </w:divBdr>
              <w:divsChild>
                <w:div w:id="8509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FB6E-D3E0-44AB-9E01-9DDFB7AE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1606</Words>
  <Characters>8290</Characters>
  <Application>Microsoft Office Word</Application>
  <DocSecurity>0</DocSecurity>
  <Lines>159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13</cp:revision>
  <cp:lastPrinted>2025-03-12T20:23:00Z</cp:lastPrinted>
  <dcterms:created xsi:type="dcterms:W3CDTF">2025-02-02T21:48:00Z</dcterms:created>
  <dcterms:modified xsi:type="dcterms:W3CDTF">2025-03-12T20:23:00Z</dcterms:modified>
</cp:coreProperties>
</file>