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5AA4" w14:textId="1CF75185" w:rsidR="00BC613E" w:rsidRPr="00577C4A" w:rsidRDefault="00577C4A" w:rsidP="00577C4A">
      <w:pPr>
        <w:spacing w:line="240" w:lineRule="auto"/>
        <w:ind w:left="0"/>
        <w:rPr>
          <w:rFonts w:cs="Times New Roman"/>
          <w:b/>
          <w:bCs/>
          <w:sz w:val="28"/>
          <w:szCs w:val="28"/>
        </w:rPr>
      </w:pPr>
      <w:r>
        <w:rPr>
          <w:rFonts w:cs="Times New Roman"/>
          <w:b/>
          <w:bCs/>
          <w:sz w:val="28"/>
          <w:szCs w:val="28"/>
        </w:rPr>
        <w:t>6.2</w:t>
      </w:r>
      <w:r w:rsidR="00BB79C6">
        <w:rPr>
          <w:rFonts w:cs="Times New Roman"/>
          <w:b/>
          <w:bCs/>
          <w:sz w:val="28"/>
          <w:szCs w:val="28"/>
        </w:rPr>
        <w:t>5</w:t>
      </w:r>
      <w:r w:rsidR="00CD0E38">
        <w:rPr>
          <w:rFonts w:cs="Times New Roman"/>
          <w:b/>
          <w:bCs/>
          <w:sz w:val="28"/>
          <w:szCs w:val="28"/>
        </w:rPr>
        <w:t>.</w:t>
      </w:r>
      <w:r>
        <w:rPr>
          <w:rFonts w:cs="Times New Roman"/>
          <w:b/>
          <w:bCs/>
          <w:sz w:val="28"/>
          <w:szCs w:val="28"/>
        </w:rPr>
        <w:t xml:space="preserve"> </w:t>
      </w:r>
      <w:r w:rsidR="00BC613E" w:rsidRPr="00577C4A">
        <w:rPr>
          <w:rFonts w:cs="Times New Roman"/>
          <w:b/>
          <w:bCs/>
          <w:sz w:val="28"/>
          <w:szCs w:val="28"/>
        </w:rPr>
        <w:t xml:space="preserve">Impeachment </w:t>
      </w:r>
      <w:r w:rsidR="004154DC">
        <w:rPr>
          <w:rFonts w:cs="Times New Roman"/>
          <w:b/>
          <w:bCs/>
          <w:sz w:val="28"/>
          <w:szCs w:val="28"/>
        </w:rPr>
        <w:t>of</w:t>
      </w:r>
      <w:r w:rsidR="00BC613E" w:rsidRPr="00577C4A">
        <w:rPr>
          <w:rFonts w:cs="Times New Roman"/>
          <w:b/>
          <w:bCs/>
          <w:sz w:val="28"/>
          <w:szCs w:val="28"/>
        </w:rPr>
        <w:t xml:space="preserve"> Alibi Testimony</w:t>
      </w:r>
    </w:p>
    <w:p w14:paraId="619D1440" w14:textId="77777777" w:rsidR="00BC613E" w:rsidRPr="00461C42" w:rsidRDefault="00BC613E" w:rsidP="00461C42">
      <w:pPr>
        <w:spacing w:line="240" w:lineRule="auto"/>
        <w:ind w:left="0"/>
        <w:rPr>
          <w:rFonts w:cs="Times New Roman"/>
          <w:b/>
          <w:bCs/>
          <w:sz w:val="28"/>
          <w:szCs w:val="28"/>
        </w:rPr>
      </w:pPr>
    </w:p>
    <w:p w14:paraId="621ED0D0" w14:textId="4963CCAB" w:rsidR="00BC613E" w:rsidRPr="00461C42" w:rsidRDefault="00461C42" w:rsidP="00461C42">
      <w:pPr>
        <w:pStyle w:val="ListParagraph"/>
        <w:spacing w:line="240" w:lineRule="auto"/>
        <w:ind w:left="720" w:right="720"/>
        <w:jc w:val="both"/>
        <w:rPr>
          <w:rFonts w:cs="Times New Roman"/>
          <w:b/>
          <w:bCs/>
          <w:sz w:val="28"/>
          <w:szCs w:val="28"/>
        </w:rPr>
      </w:pPr>
      <w:r w:rsidRPr="00461C42">
        <w:rPr>
          <w:rFonts w:cs="Times New Roman"/>
          <w:b/>
          <w:bCs/>
          <w:sz w:val="28"/>
          <w:szCs w:val="28"/>
        </w:rPr>
        <w:t xml:space="preserve">(1) </w:t>
      </w:r>
      <w:r w:rsidR="00BC613E" w:rsidRPr="00461C42">
        <w:rPr>
          <w:rFonts w:cs="Times New Roman"/>
          <w:b/>
          <w:bCs/>
          <w:sz w:val="28"/>
          <w:szCs w:val="28"/>
        </w:rPr>
        <w:t>Neither a defendant nor a defense witness who gives testimony, inconsistent with a notice of alibi filed pursuant to statute but withdrawn before trial or disavowed at trial, may be impeached by that notice of alibi on cross-examination or by introduction of that notice in rebuttal.</w:t>
      </w:r>
    </w:p>
    <w:p w14:paraId="533D952D" w14:textId="740E0C80" w:rsidR="00BC613E" w:rsidRPr="00461C42" w:rsidRDefault="00BC613E" w:rsidP="00461C42">
      <w:pPr>
        <w:spacing w:line="240" w:lineRule="auto"/>
        <w:ind w:left="0" w:right="864"/>
        <w:rPr>
          <w:rFonts w:cs="Times New Roman"/>
          <w:b/>
          <w:bCs/>
          <w:sz w:val="28"/>
          <w:szCs w:val="28"/>
        </w:rPr>
      </w:pPr>
    </w:p>
    <w:p w14:paraId="7C90C279" w14:textId="594FB0F8" w:rsidR="00BC613E" w:rsidRPr="00461C42" w:rsidRDefault="00461C42" w:rsidP="00461C42">
      <w:pPr>
        <w:spacing w:line="240" w:lineRule="auto"/>
        <w:ind w:left="720" w:right="720"/>
        <w:jc w:val="both"/>
        <w:rPr>
          <w:rFonts w:cs="Times New Roman"/>
          <w:b/>
          <w:bCs/>
          <w:sz w:val="28"/>
          <w:szCs w:val="28"/>
        </w:rPr>
      </w:pPr>
      <w:r w:rsidRPr="00461C42">
        <w:rPr>
          <w:rFonts w:cs="Times New Roman"/>
          <w:b/>
          <w:bCs/>
          <w:sz w:val="28"/>
          <w:szCs w:val="28"/>
        </w:rPr>
        <w:t xml:space="preserve">(2) </w:t>
      </w:r>
      <w:r w:rsidR="00BC613E" w:rsidRPr="00461C42">
        <w:rPr>
          <w:rFonts w:cs="Times New Roman"/>
          <w:b/>
          <w:bCs/>
          <w:sz w:val="28"/>
          <w:szCs w:val="28"/>
        </w:rPr>
        <w:t>A defendant or witness who gives alibi testimony may be impeached by</w:t>
      </w:r>
      <w:r w:rsidR="00BC613E" w:rsidRPr="00461C42">
        <w:rPr>
          <w:rFonts w:cs="Times New Roman"/>
          <w:b/>
          <w:bCs/>
          <w:color w:val="C00000"/>
          <w:sz w:val="28"/>
          <w:szCs w:val="28"/>
        </w:rPr>
        <w:t xml:space="preserve"> </w:t>
      </w:r>
      <w:r w:rsidR="00BC613E" w:rsidRPr="00461C42">
        <w:rPr>
          <w:rFonts w:cs="Times New Roman"/>
          <w:b/>
          <w:bCs/>
          <w:sz w:val="28"/>
          <w:szCs w:val="28"/>
        </w:rPr>
        <w:t xml:space="preserve">a statement the defendant or witness, as the case may be, made prior to or following the filing of a notice of alibi inconsistent with the alibi testimony. </w:t>
      </w:r>
    </w:p>
    <w:p w14:paraId="5881A812" w14:textId="77777777" w:rsidR="00BC613E" w:rsidRPr="00461C42" w:rsidRDefault="00BC613E" w:rsidP="00461C42">
      <w:pPr>
        <w:spacing w:line="240" w:lineRule="auto"/>
        <w:ind w:left="0"/>
        <w:rPr>
          <w:rFonts w:cs="Times New Roman"/>
          <w:b/>
          <w:bCs/>
          <w:sz w:val="28"/>
          <w:szCs w:val="28"/>
        </w:rPr>
      </w:pPr>
    </w:p>
    <w:p w14:paraId="0119AE28" w14:textId="32DDC482" w:rsidR="00BC613E" w:rsidRPr="00461C42" w:rsidRDefault="00461C42" w:rsidP="00461C42">
      <w:pPr>
        <w:spacing w:line="240" w:lineRule="auto"/>
        <w:ind w:left="720" w:right="720"/>
        <w:jc w:val="both"/>
        <w:rPr>
          <w:rFonts w:cs="Times New Roman"/>
          <w:b/>
          <w:bCs/>
          <w:sz w:val="28"/>
          <w:szCs w:val="28"/>
        </w:rPr>
      </w:pPr>
      <w:r w:rsidRPr="00461C42">
        <w:rPr>
          <w:rFonts w:cs="Times New Roman"/>
          <w:b/>
          <w:bCs/>
          <w:sz w:val="28"/>
          <w:szCs w:val="28"/>
        </w:rPr>
        <w:t xml:space="preserve">(3) </w:t>
      </w:r>
      <w:r w:rsidR="00BC613E" w:rsidRPr="00461C42">
        <w:rPr>
          <w:rFonts w:cs="Times New Roman"/>
          <w:b/>
          <w:bCs/>
          <w:sz w:val="28"/>
          <w:szCs w:val="28"/>
        </w:rPr>
        <w:t xml:space="preserve">(a) A witness who testifies at trial to an alibi may be impeached for failure to have timely presented the alibi to law enforcement authorities, provided the witness’s failure to do so was not pursuant to the advice of defense counsel and the court has so determined before permitting questions. </w:t>
      </w:r>
    </w:p>
    <w:p w14:paraId="513AF26C" w14:textId="77777777" w:rsidR="00BC613E" w:rsidRPr="00461C42" w:rsidRDefault="00BC613E" w:rsidP="00461C42">
      <w:pPr>
        <w:spacing w:line="240" w:lineRule="auto"/>
        <w:ind w:left="0"/>
        <w:rPr>
          <w:rFonts w:cs="Times New Roman"/>
          <w:b/>
          <w:bCs/>
          <w:sz w:val="28"/>
          <w:szCs w:val="28"/>
        </w:rPr>
      </w:pPr>
    </w:p>
    <w:p w14:paraId="5D72F46C" w14:textId="1F8254F2" w:rsidR="00BC613E" w:rsidRPr="00461C42" w:rsidRDefault="00BC613E" w:rsidP="00461C42">
      <w:pPr>
        <w:pStyle w:val="ListParagraph"/>
        <w:spacing w:line="240" w:lineRule="auto"/>
        <w:ind w:left="720" w:right="720"/>
        <w:jc w:val="both"/>
        <w:rPr>
          <w:rFonts w:cs="Times New Roman"/>
          <w:b/>
          <w:bCs/>
          <w:sz w:val="28"/>
          <w:szCs w:val="28"/>
        </w:rPr>
      </w:pPr>
      <w:r w:rsidRPr="00461C42">
        <w:rPr>
          <w:rFonts w:cs="Times New Roman"/>
          <w:b/>
          <w:bCs/>
          <w:sz w:val="28"/>
          <w:szCs w:val="28"/>
        </w:rPr>
        <w:t>(b) The foundation for the impeachment will normally include demonstrating that the witness was aware of the nature of the charges pending against the defendant, had reason to recognize that he possessed exculpatory information, had a reasonable motive for acting to exonerate the defendant, and was familiar with the means to make such information available to law enforcement authorities.</w:t>
      </w:r>
    </w:p>
    <w:p w14:paraId="1E17BAB6" w14:textId="77777777" w:rsidR="00BC613E" w:rsidRPr="00461C42" w:rsidRDefault="00BC613E" w:rsidP="00461C42">
      <w:pPr>
        <w:spacing w:line="240" w:lineRule="auto"/>
        <w:ind w:left="0" w:right="864"/>
        <w:rPr>
          <w:rFonts w:cs="Times New Roman"/>
          <w:b/>
          <w:bCs/>
          <w:sz w:val="28"/>
          <w:szCs w:val="28"/>
        </w:rPr>
      </w:pPr>
    </w:p>
    <w:p w14:paraId="0F62AC0A" w14:textId="77777777" w:rsidR="00BC613E" w:rsidRPr="00461C42" w:rsidRDefault="00BC613E" w:rsidP="00461C42">
      <w:pPr>
        <w:spacing w:line="240" w:lineRule="auto"/>
        <w:ind w:left="0" w:right="0"/>
        <w:jc w:val="center"/>
        <w:rPr>
          <w:rFonts w:cs="Times New Roman"/>
          <w:b/>
          <w:bCs/>
          <w:sz w:val="28"/>
          <w:szCs w:val="28"/>
        </w:rPr>
      </w:pPr>
      <w:r w:rsidRPr="00461C42">
        <w:rPr>
          <w:rFonts w:cs="Times New Roman"/>
          <w:b/>
          <w:bCs/>
          <w:sz w:val="28"/>
          <w:szCs w:val="28"/>
        </w:rPr>
        <w:t>Note</w:t>
      </w:r>
    </w:p>
    <w:p w14:paraId="576EBFE4" w14:textId="77777777" w:rsidR="00BC613E" w:rsidRPr="00461C42" w:rsidRDefault="00BC613E" w:rsidP="00461C42">
      <w:pPr>
        <w:spacing w:line="240" w:lineRule="auto"/>
        <w:ind w:left="0" w:right="864"/>
        <w:rPr>
          <w:rFonts w:cs="Times New Roman"/>
          <w:szCs w:val="24"/>
        </w:rPr>
      </w:pPr>
    </w:p>
    <w:p w14:paraId="4EC479E0" w14:textId="615FFEE4" w:rsidR="00BC613E" w:rsidRPr="00461C42" w:rsidRDefault="00BC613E" w:rsidP="00461C42">
      <w:pPr>
        <w:spacing w:line="240" w:lineRule="auto"/>
        <w:ind w:left="0" w:right="0"/>
        <w:jc w:val="both"/>
        <w:rPr>
          <w:rFonts w:cs="Times New Roman"/>
          <w:szCs w:val="24"/>
        </w:rPr>
      </w:pPr>
      <w:r w:rsidRPr="00461C42">
        <w:rPr>
          <w:rFonts w:cs="Times New Roman"/>
          <w:szCs w:val="24"/>
        </w:rPr>
        <w:tab/>
      </w:r>
      <w:r w:rsidRPr="00461C42">
        <w:rPr>
          <w:rFonts w:cs="Times New Roman"/>
          <w:b/>
          <w:bCs/>
          <w:szCs w:val="24"/>
        </w:rPr>
        <w:t xml:space="preserve">Subdivision (1) </w:t>
      </w:r>
      <w:r w:rsidRPr="00461C42">
        <w:rPr>
          <w:rFonts w:cs="Times New Roman"/>
          <w:szCs w:val="24"/>
        </w:rPr>
        <w:t xml:space="preserve">is derived from </w:t>
      </w:r>
      <w:r w:rsidRPr="00461C42">
        <w:rPr>
          <w:rFonts w:cs="Times New Roman"/>
          <w:i/>
          <w:iCs/>
          <w:szCs w:val="24"/>
        </w:rPr>
        <w:t>People v</w:t>
      </w:r>
      <w:r w:rsidRPr="00461C42">
        <w:rPr>
          <w:rFonts w:cs="Times New Roman"/>
          <w:szCs w:val="24"/>
        </w:rPr>
        <w:t xml:space="preserve"> </w:t>
      </w:r>
      <w:r w:rsidRPr="00461C42">
        <w:rPr>
          <w:rFonts w:cs="Times New Roman"/>
          <w:i/>
          <w:iCs/>
          <w:szCs w:val="24"/>
        </w:rPr>
        <w:t>Burgos-Santos</w:t>
      </w:r>
      <w:r w:rsidRPr="00461C42">
        <w:rPr>
          <w:rFonts w:cs="Times New Roman"/>
          <w:szCs w:val="24"/>
        </w:rPr>
        <w:t xml:space="preserve"> </w:t>
      </w:r>
      <w:r w:rsidR="001A6245" w:rsidRPr="00461C42">
        <w:rPr>
          <w:rFonts w:cs="Times New Roman"/>
          <w:szCs w:val="24"/>
        </w:rPr>
        <w:t>(</w:t>
      </w:r>
      <w:r w:rsidRPr="00461C42">
        <w:rPr>
          <w:rFonts w:cs="Times New Roman"/>
          <w:szCs w:val="24"/>
        </w:rPr>
        <w:t>98 NY2d 226 [2002] [where the notice of alibi had been withdrawn prior to trial it was error to use that notice of alibi to cross-examine the defendant in order to impeach his testimony that he was present at the crime scene but was an innocent victim of an assault rather than the perpetrator]</w:t>
      </w:r>
      <w:r w:rsidR="001A6245" w:rsidRPr="00461C42">
        <w:rPr>
          <w:rFonts w:cs="Times New Roman"/>
          <w:szCs w:val="24"/>
        </w:rPr>
        <w:t xml:space="preserve">) </w:t>
      </w:r>
      <w:r w:rsidRPr="00461C42">
        <w:rPr>
          <w:rFonts w:cs="Times New Roman"/>
          <w:szCs w:val="24"/>
        </w:rPr>
        <w:t xml:space="preserve">and </w:t>
      </w:r>
      <w:r w:rsidRPr="00461C42">
        <w:rPr>
          <w:rFonts w:cs="Times New Roman"/>
          <w:i/>
          <w:iCs/>
          <w:szCs w:val="24"/>
        </w:rPr>
        <w:t>People v Rodriguez</w:t>
      </w:r>
      <w:r w:rsidRPr="00461C42">
        <w:rPr>
          <w:rFonts w:cs="Times New Roman"/>
          <w:szCs w:val="24"/>
        </w:rPr>
        <w:t xml:space="preserve"> </w:t>
      </w:r>
      <w:r w:rsidR="001A6245" w:rsidRPr="00461C42">
        <w:rPr>
          <w:rFonts w:cs="Times New Roman"/>
          <w:szCs w:val="24"/>
        </w:rPr>
        <w:t>(</w:t>
      </w:r>
      <w:r w:rsidRPr="00461C42">
        <w:rPr>
          <w:rFonts w:cs="Times New Roman"/>
          <w:szCs w:val="24"/>
        </w:rPr>
        <w:t xml:space="preserve">3 NY3d 462 [2004] [where the notice of alibi was </w:t>
      </w:r>
      <w:bookmarkStart w:id="0" w:name="_Hlk58854101"/>
      <w:r w:rsidRPr="00461C42">
        <w:rPr>
          <w:rFonts w:cs="Times New Roman"/>
          <w:szCs w:val="24"/>
        </w:rPr>
        <w:t xml:space="preserve">disavowed </w:t>
      </w:r>
      <w:bookmarkEnd w:id="0"/>
      <w:r w:rsidRPr="00461C42">
        <w:rPr>
          <w:rFonts w:cs="Times New Roman"/>
          <w:szCs w:val="24"/>
        </w:rPr>
        <w:t>at trial on defendant’s case, it was error to introduce the notice of alibi in rebuttal to impeach the defendant’s alibi witnesses who testified to an alibi other than the one in the notice]</w:t>
      </w:r>
      <w:r w:rsidR="001A6245" w:rsidRPr="00461C42">
        <w:rPr>
          <w:rFonts w:cs="Times New Roman"/>
          <w:szCs w:val="24"/>
        </w:rPr>
        <w:t xml:space="preserve">; </w:t>
      </w:r>
      <w:r w:rsidR="001A6245" w:rsidRPr="00461C42">
        <w:rPr>
          <w:rFonts w:cs="Times New Roman"/>
          <w:i/>
          <w:iCs/>
          <w:szCs w:val="24"/>
        </w:rPr>
        <w:t>se</w:t>
      </w:r>
      <w:r w:rsidRPr="00461C42">
        <w:rPr>
          <w:rFonts w:cs="Times New Roman"/>
          <w:i/>
          <w:iCs/>
          <w:szCs w:val="24"/>
        </w:rPr>
        <w:t>e also People v Gray</w:t>
      </w:r>
      <w:r w:rsidRPr="00461C42">
        <w:rPr>
          <w:rFonts w:cs="Times New Roman"/>
          <w:szCs w:val="24"/>
        </w:rPr>
        <w:t xml:space="preserve">, </w:t>
      </w:r>
      <w:r w:rsidRPr="00461C42">
        <w:rPr>
          <w:rFonts w:cs="Times New Roman"/>
          <w:szCs w:val="24"/>
        </w:rPr>
        <w:lastRenderedPageBreak/>
        <w:t>125 AD3d 1107, 1107 [3d Dept 2015] [“The Court of Appeals has unequivocally established that the People may not use a defendant</w:t>
      </w:r>
      <w:r w:rsidR="00E32DE8">
        <w:rPr>
          <w:rFonts w:cs="Times New Roman"/>
          <w:szCs w:val="24"/>
        </w:rPr>
        <w:t>’</w:t>
      </w:r>
      <w:r w:rsidRPr="00461C42">
        <w:rPr>
          <w:rFonts w:cs="Times New Roman"/>
          <w:szCs w:val="24"/>
        </w:rPr>
        <w:t>s notice of alibi for impeachment purposes on cross-examination where the defendant has withdrawn such notice prior to trial”]</w:t>
      </w:r>
      <w:r w:rsidR="001A6245" w:rsidRPr="00461C42">
        <w:rPr>
          <w:rFonts w:cs="Times New Roman"/>
          <w:szCs w:val="24"/>
        </w:rPr>
        <w:t xml:space="preserve">; </w:t>
      </w:r>
      <w:r w:rsidR="001A6245" w:rsidRPr="00461C42">
        <w:rPr>
          <w:rFonts w:cs="Times New Roman"/>
          <w:i/>
          <w:iCs/>
          <w:szCs w:val="24"/>
        </w:rPr>
        <w:t>s</w:t>
      </w:r>
      <w:r w:rsidRPr="00461C42">
        <w:rPr>
          <w:rFonts w:cs="Times New Roman"/>
          <w:i/>
          <w:iCs/>
          <w:szCs w:val="24"/>
        </w:rPr>
        <w:t>ee</w:t>
      </w:r>
      <w:r w:rsidRPr="00461C42">
        <w:rPr>
          <w:rFonts w:cs="Times New Roman"/>
          <w:szCs w:val="24"/>
        </w:rPr>
        <w:t xml:space="preserve"> F</w:t>
      </w:r>
      <w:r w:rsidR="001A6245" w:rsidRPr="00461C42">
        <w:rPr>
          <w:rFonts w:cs="Times New Roman"/>
          <w:szCs w:val="24"/>
        </w:rPr>
        <w:t xml:space="preserve">ed </w:t>
      </w:r>
      <w:r w:rsidRPr="00461C42">
        <w:rPr>
          <w:rFonts w:cs="Times New Roman"/>
          <w:szCs w:val="24"/>
        </w:rPr>
        <w:t>R</w:t>
      </w:r>
      <w:r w:rsidR="001A6245" w:rsidRPr="00461C42">
        <w:rPr>
          <w:rFonts w:cs="Times New Roman"/>
          <w:szCs w:val="24"/>
        </w:rPr>
        <w:t xml:space="preserve">ules </w:t>
      </w:r>
      <w:r w:rsidRPr="00461C42">
        <w:rPr>
          <w:rFonts w:cs="Times New Roman"/>
          <w:szCs w:val="24"/>
        </w:rPr>
        <w:t>Cr</w:t>
      </w:r>
      <w:r w:rsidR="001A6245" w:rsidRPr="00461C42">
        <w:rPr>
          <w:rFonts w:cs="Times New Roman"/>
          <w:szCs w:val="24"/>
        </w:rPr>
        <w:t xml:space="preserve">im </w:t>
      </w:r>
      <w:r w:rsidRPr="00461C42">
        <w:rPr>
          <w:rFonts w:cs="Times New Roman"/>
          <w:szCs w:val="24"/>
        </w:rPr>
        <w:t>P</w:t>
      </w:r>
      <w:r w:rsidR="001A6245" w:rsidRPr="00461C42">
        <w:rPr>
          <w:rFonts w:cs="Times New Roman"/>
          <w:szCs w:val="24"/>
        </w:rPr>
        <w:t>ro</w:t>
      </w:r>
      <w:r w:rsidRPr="00461C42">
        <w:rPr>
          <w:rFonts w:cs="Times New Roman"/>
          <w:szCs w:val="24"/>
        </w:rPr>
        <w:t xml:space="preserve"> </w:t>
      </w:r>
      <w:r w:rsidR="001A6245" w:rsidRPr="00461C42">
        <w:rPr>
          <w:rFonts w:cs="Times New Roman"/>
          <w:szCs w:val="24"/>
        </w:rPr>
        <w:t xml:space="preserve">rule </w:t>
      </w:r>
      <w:r w:rsidRPr="00461C42">
        <w:rPr>
          <w:rFonts w:cs="Times New Roman"/>
          <w:szCs w:val="24"/>
        </w:rPr>
        <w:t>12.1</w:t>
      </w:r>
      <w:r w:rsidR="001A6245" w:rsidRPr="00461C42">
        <w:rPr>
          <w:rFonts w:cs="Times New Roman"/>
          <w:szCs w:val="24"/>
        </w:rPr>
        <w:t xml:space="preserve"> [</w:t>
      </w:r>
      <w:r w:rsidRPr="00461C42">
        <w:rPr>
          <w:rFonts w:cs="Times New Roman"/>
          <w:szCs w:val="24"/>
        </w:rPr>
        <w:t>f</w:t>
      </w:r>
      <w:r w:rsidR="001A6245" w:rsidRPr="00461C42">
        <w:rPr>
          <w:rFonts w:cs="Times New Roman"/>
          <w:szCs w:val="24"/>
        </w:rPr>
        <w:t>]</w:t>
      </w:r>
      <w:r w:rsidRPr="00461C42">
        <w:rPr>
          <w:rFonts w:cs="Times New Roman"/>
          <w:szCs w:val="24"/>
        </w:rPr>
        <w:t xml:space="preserve"> [“Evidence of an intention to rely on an alibi defense, later withdrawn, or of a statement made in connection with that intention, is not, in any civil or criminal proceeding, admissible against the person who gave notice of the intention”])</w:t>
      </w:r>
      <w:r w:rsidR="001A6245" w:rsidRPr="00461C42">
        <w:rPr>
          <w:rFonts w:cs="Times New Roman"/>
          <w:szCs w:val="24"/>
        </w:rPr>
        <w:t>.</w:t>
      </w:r>
    </w:p>
    <w:p w14:paraId="62845D5D" w14:textId="77777777" w:rsidR="00BC613E" w:rsidRPr="00461C42" w:rsidRDefault="00BC613E" w:rsidP="00461C42">
      <w:pPr>
        <w:spacing w:line="240" w:lineRule="auto"/>
        <w:ind w:left="0" w:right="0"/>
        <w:jc w:val="both"/>
        <w:rPr>
          <w:rFonts w:cs="Times New Roman"/>
          <w:szCs w:val="24"/>
        </w:rPr>
      </w:pPr>
    </w:p>
    <w:p w14:paraId="2749E916" w14:textId="66A2589F" w:rsidR="00843AA4" w:rsidRDefault="00BC613E" w:rsidP="00461C42">
      <w:pPr>
        <w:spacing w:line="240" w:lineRule="auto"/>
        <w:ind w:left="0" w:right="0"/>
        <w:jc w:val="both"/>
        <w:rPr>
          <w:rFonts w:cs="Times New Roman"/>
          <w:szCs w:val="24"/>
        </w:rPr>
      </w:pPr>
      <w:r w:rsidRPr="00461C42">
        <w:rPr>
          <w:rFonts w:cs="Times New Roman"/>
          <w:szCs w:val="24"/>
        </w:rPr>
        <w:tab/>
        <w:t xml:space="preserve">By CPL 250.20, a defendant who intends to present an alibi defense is compelled to file a notice of alibi within </w:t>
      </w:r>
      <w:r w:rsidR="00131EF8">
        <w:rPr>
          <w:rFonts w:cs="Times New Roman"/>
          <w:szCs w:val="24"/>
        </w:rPr>
        <w:t>20</w:t>
      </w:r>
      <w:r w:rsidRPr="00461C42">
        <w:rPr>
          <w:rFonts w:cs="Times New Roman"/>
          <w:szCs w:val="24"/>
        </w:rPr>
        <w:t xml:space="preserve"> days of arraignment.  That “compulsion” is not in violation of the </w:t>
      </w:r>
      <w:r w:rsidR="00131EF8">
        <w:rPr>
          <w:rFonts w:cs="Times New Roman"/>
          <w:szCs w:val="24"/>
        </w:rPr>
        <w:t>F</w:t>
      </w:r>
      <w:r w:rsidRPr="00461C42">
        <w:rPr>
          <w:rFonts w:cs="Times New Roman"/>
          <w:szCs w:val="24"/>
        </w:rPr>
        <w:t xml:space="preserve">ederal </w:t>
      </w:r>
      <w:r w:rsidR="00131EF8">
        <w:rPr>
          <w:rFonts w:cs="Times New Roman"/>
          <w:szCs w:val="24"/>
        </w:rPr>
        <w:t>C</w:t>
      </w:r>
      <w:r w:rsidRPr="00461C42">
        <w:rPr>
          <w:rFonts w:cs="Times New Roman"/>
          <w:szCs w:val="24"/>
        </w:rPr>
        <w:t>onstitution because, “</w:t>
      </w:r>
      <w:r w:rsidR="00843AA4" w:rsidRPr="00461C42">
        <w:rPr>
          <w:rFonts w:cs="Times New Roman"/>
          <w:szCs w:val="24"/>
        </w:rPr>
        <w:t>[a]</w:t>
      </w:r>
      <w:r w:rsidRPr="00461C42">
        <w:rPr>
          <w:rFonts w:cs="Times New Roman"/>
          <w:szCs w:val="24"/>
        </w:rPr>
        <w:t>t most, the rule only compelled petitioner to accelerate the timing of his disclosure, forcing him to divulge at an earlier date information that the [defendant] from the beginning planned to divulge at trial” (</w:t>
      </w:r>
      <w:r w:rsidRPr="00461C42">
        <w:rPr>
          <w:rFonts w:cs="Times New Roman"/>
          <w:i/>
          <w:iCs/>
          <w:szCs w:val="24"/>
        </w:rPr>
        <w:t>Williams v Florida</w:t>
      </w:r>
      <w:r w:rsidRPr="00461C42">
        <w:rPr>
          <w:rFonts w:cs="Times New Roman"/>
          <w:szCs w:val="24"/>
        </w:rPr>
        <w:t>, 399 US 78, 85-86</w:t>
      </w:r>
      <w:r w:rsidR="00843AA4" w:rsidRPr="00461C42">
        <w:rPr>
          <w:rFonts w:cs="Times New Roman"/>
          <w:szCs w:val="24"/>
        </w:rPr>
        <w:t xml:space="preserve"> </w:t>
      </w:r>
      <w:r w:rsidRPr="00461C42">
        <w:rPr>
          <w:rFonts w:cs="Times New Roman"/>
          <w:szCs w:val="24"/>
        </w:rPr>
        <w:t xml:space="preserve">[1970]).  Use of that compelled notice of alibi to impeach a defendant or the defendant’s defense when it has been withdrawn or disavowed, however, raised a constitutional concern in both </w:t>
      </w:r>
      <w:r w:rsidRPr="00461C42">
        <w:rPr>
          <w:rFonts w:cs="Times New Roman"/>
          <w:i/>
          <w:iCs/>
          <w:szCs w:val="24"/>
        </w:rPr>
        <w:t xml:space="preserve">Burgos-Santos </w:t>
      </w:r>
      <w:r w:rsidRPr="00461C42">
        <w:rPr>
          <w:rFonts w:cs="Times New Roman"/>
          <w:szCs w:val="24"/>
        </w:rPr>
        <w:t xml:space="preserve">and </w:t>
      </w:r>
      <w:r w:rsidRPr="00461C42">
        <w:rPr>
          <w:rFonts w:cs="Times New Roman"/>
          <w:i/>
          <w:iCs/>
          <w:szCs w:val="24"/>
        </w:rPr>
        <w:t xml:space="preserve">Rodriguez. </w:t>
      </w:r>
      <w:r w:rsidRPr="00461C42">
        <w:rPr>
          <w:rFonts w:cs="Times New Roman"/>
          <w:szCs w:val="24"/>
        </w:rPr>
        <w:t xml:space="preserve">The Court did not decide the constitutional issue.  Instead, the </w:t>
      </w:r>
      <w:r w:rsidR="00131EF8">
        <w:rPr>
          <w:rFonts w:cs="Times New Roman"/>
          <w:szCs w:val="24"/>
        </w:rPr>
        <w:t>C</w:t>
      </w:r>
      <w:r w:rsidRPr="00461C42">
        <w:rPr>
          <w:rFonts w:cs="Times New Roman"/>
          <w:szCs w:val="24"/>
        </w:rPr>
        <w:t>ourt disallowed the notice as impeachment evidence, explaining that CPL 250.20 specified the remedies for a violation of the statutory requirements and those remedies did not include impeachment of the defendant or defendant’s witnesses</w:t>
      </w:r>
      <w:r w:rsidR="00843AA4" w:rsidRPr="00461C42">
        <w:rPr>
          <w:rFonts w:cs="Times New Roman"/>
          <w:szCs w:val="24"/>
        </w:rPr>
        <w:t>.</w:t>
      </w:r>
    </w:p>
    <w:p w14:paraId="682E36D8" w14:textId="77777777" w:rsidR="00461C42" w:rsidRPr="00461C42" w:rsidRDefault="00461C42" w:rsidP="00461C42">
      <w:pPr>
        <w:spacing w:line="240" w:lineRule="auto"/>
        <w:ind w:left="0" w:right="0"/>
        <w:jc w:val="both"/>
        <w:rPr>
          <w:rFonts w:cs="Times New Roman"/>
          <w:szCs w:val="24"/>
        </w:rPr>
      </w:pPr>
    </w:p>
    <w:p w14:paraId="11EF2CF9" w14:textId="6A6C24A1" w:rsidR="00BC613E" w:rsidRPr="00461C42" w:rsidRDefault="00BC613E" w:rsidP="00461C42">
      <w:pPr>
        <w:spacing w:line="240" w:lineRule="auto"/>
        <w:ind w:left="0" w:right="0"/>
        <w:jc w:val="both"/>
        <w:rPr>
          <w:rFonts w:cs="Times New Roman"/>
          <w:szCs w:val="24"/>
        </w:rPr>
      </w:pPr>
      <w:r w:rsidRPr="00461C42">
        <w:rPr>
          <w:rFonts w:cs="Times New Roman"/>
          <w:szCs w:val="24"/>
        </w:rPr>
        <w:tab/>
        <w:t xml:space="preserve">The facts in </w:t>
      </w:r>
      <w:r w:rsidRPr="00461C42">
        <w:rPr>
          <w:rFonts w:cs="Times New Roman"/>
          <w:i/>
          <w:iCs/>
          <w:szCs w:val="24"/>
        </w:rPr>
        <w:t>Rodriguez</w:t>
      </w:r>
      <w:r w:rsidRPr="00461C42">
        <w:rPr>
          <w:rFonts w:cs="Times New Roman"/>
          <w:szCs w:val="24"/>
        </w:rPr>
        <w:t xml:space="preserve"> suggest a broad definition of what constitutes </w:t>
      </w:r>
      <w:r w:rsidR="00FB2476" w:rsidRPr="00461C42">
        <w:rPr>
          <w:rFonts w:cs="Times New Roman"/>
          <w:szCs w:val="24"/>
        </w:rPr>
        <w:t>a disavowal</w:t>
      </w:r>
      <w:r w:rsidRPr="00461C42">
        <w:rPr>
          <w:rFonts w:cs="Times New Roman"/>
          <w:szCs w:val="24"/>
        </w:rPr>
        <w:t xml:space="preserve"> of an alibi notice and when that disavowal is timely. In </w:t>
      </w:r>
      <w:r w:rsidRPr="00461C42">
        <w:rPr>
          <w:rFonts w:cs="Times New Roman"/>
          <w:i/>
          <w:iCs/>
          <w:szCs w:val="24"/>
        </w:rPr>
        <w:t>Rodriguez</w:t>
      </w:r>
      <w:r w:rsidRPr="00461C42">
        <w:rPr>
          <w:rFonts w:cs="Times New Roman"/>
          <w:szCs w:val="24"/>
        </w:rPr>
        <w:t>, the defendant did not withdraw the notice of alibi; instead “it became obvious from the [defense witness’s] surprise testimony that defendant was presenting a new and different alibi” (</w:t>
      </w:r>
      <w:r w:rsidRPr="00461C42">
        <w:rPr>
          <w:rFonts w:cs="Times New Roman"/>
          <w:i/>
          <w:iCs/>
          <w:szCs w:val="24"/>
        </w:rPr>
        <w:t>Rodriguez</w:t>
      </w:r>
      <w:r w:rsidRPr="00461C42">
        <w:rPr>
          <w:rFonts w:cs="Times New Roman"/>
          <w:szCs w:val="24"/>
        </w:rPr>
        <w:t xml:space="preserve"> at 465).</w:t>
      </w:r>
    </w:p>
    <w:p w14:paraId="1F9D0495" w14:textId="77777777" w:rsidR="00BC613E" w:rsidRPr="00461C42" w:rsidRDefault="00BC613E" w:rsidP="00461C42">
      <w:pPr>
        <w:spacing w:line="240" w:lineRule="auto"/>
        <w:ind w:left="0" w:right="0"/>
        <w:jc w:val="both"/>
        <w:rPr>
          <w:rFonts w:cs="Times New Roman"/>
          <w:szCs w:val="24"/>
        </w:rPr>
      </w:pPr>
    </w:p>
    <w:p w14:paraId="65C57D7A" w14:textId="7916391A" w:rsidR="00BC613E" w:rsidRPr="00461C42" w:rsidRDefault="00BC613E" w:rsidP="00461C42">
      <w:pPr>
        <w:spacing w:line="240" w:lineRule="auto"/>
        <w:ind w:left="0" w:right="0"/>
        <w:jc w:val="both"/>
        <w:rPr>
          <w:rFonts w:cs="Times New Roman"/>
          <w:szCs w:val="24"/>
        </w:rPr>
      </w:pPr>
      <w:r w:rsidRPr="00461C42">
        <w:rPr>
          <w:rFonts w:cs="Times New Roman"/>
          <w:szCs w:val="24"/>
        </w:rPr>
        <w:tab/>
      </w:r>
      <w:r w:rsidRPr="00461C42">
        <w:rPr>
          <w:rFonts w:cs="Times New Roman"/>
          <w:b/>
          <w:bCs/>
          <w:szCs w:val="24"/>
        </w:rPr>
        <w:t xml:space="preserve">Subdivision (2) </w:t>
      </w:r>
      <w:r w:rsidRPr="00461C42">
        <w:rPr>
          <w:rFonts w:cs="Times New Roman"/>
          <w:szCs w:val="24"/>
        </w:rPr>
        <w:t>is derived from</w:t>
      </w:r>
      <w:r w:rsidRPr="00461C42">
        <w:rPr>
          <w:rFonts w:cs="Times New Roman"/>
          <w:b/>
          <w:bCs/>
          <w:szCs w:val="24"/>
        </w:rPr>
        <w:t xml:space="preserve"> </w:t>
      </w:r>
      <w:r w:rsidRPr="00461C42">
        <w:rPr>
          <w:rFonts w:cs="Times New Roman"/>
          <w:i/>
          <w:iCs/>
          <w:szCs w:val="24"/>
        </w:rPr>
        <w:t>People v McGraw</w:t>
      </w:r>
      <w:r w:rsidRPr="00461C42">
        <w:rPr>
          <w:rFonts w:cs="Times New Roman"/>
          <w:szCs w:val="24"/>
        </w:rPr>
        <w:t xml:space="preserve"> </w:t>
      </w:r>
      <w:r w:rsidR="00FB2476" w:rsidRPr="00461C42">
        <w:rPr>
          <w:rFonts w:cs="Times New Roman"/>
          <w:szCs w:val="24"/>
        </w:rPr>
        <w:t>(</w:t>
      </w:r>
      <w:r w:rsidRPr="00461C42">
        <w:rPr>
          <w:rFonts w:cs="Times New Roman"/>
          <w:szCs w:val="24"/>
        </w:rPr>
        <w:t>40 AD3d 302, 302-303 [1st Dept 2007]</w:t>
      </w:r>
      <w:r w:rsidR="00FB2476" w:rsidRPr="00461C42">
        <w:rPr>
          <w:rFonts w:cs="Times New Roman"/>
          <w:szCs w:val="24"/>
        </w:rPr>
        <w:t>)</w:t>
      </w:r>
      <w:r w:rsidRPr="00461C42">
        <w:rPr>
          <w:rFonts w:cs="Times New Roman"/>
          <w:szCs w:val="24"/>
        </w:rPr>
        <w:t>.  Absent</w:t>
      </w:r>
      <w:r w:rsidRPr="00461C42">
        <w:rPr>
          <w:rFonts w:cs="Times New Roman"/>
          <w:b/>
          <w:bCs/>
          <w:szCs w:val="24"/>
        </w:rPr>
        <w:t xml:space="preserve"> </w:t>
      </w:r>
      <w:r w:rsidRPr="00461C42">
        <w:rPr>
          <w:rFonts w:cs="Times New Roman"/>
          <w:szCs w:val="24"/>
        </w:rPr>
        <w:t xml:space="preserve">the compulsion inherent in the filing of a notice of alibi, a defendant or defense witness who testifies to an alibi may be impeached by a statement, made prior to the filing of a notice of alibi, that is inconsistent with the testimony given at trial.  As </w:t>
      </w:r>
      <w:r w:rsidRPr="00461C42">
        <w:rPr>
          <w:rFonts w:cs="Times New Roman"/>
          <w:i/>
          <w:iCs/>
          <w:szCs w:val="24"/>
        </w:rPr>
        <w:t>McGraw</w:t>
      </w:r>
      <w:r w:rsidRPr="00461C42">
        <w:rPr>
          <w:rFonts w:cs="Times New Roman"/>
          <w:szCs w:val="24"/>
        </w:rPr>
        <w:t xml:space="preserve"> explained:</w:t>
      </w:r>
    </w:p>
    <w:p w14:paraId="646B97BF" w14:textId="77777777" w:rsidR="00BC613E" w:rsidRPr="00461C42" w:rsidRDefault="00BC613E" w:rsidP="00461C42">
      <w:pPr>
        <w:spacing w:line="240" w:lineRule="auto"/>
        <w:ind w:left="0"/>
        <w:jc w:val="both"/>
        <w:rPr>
          <w:rFonts w:cs="Times New Roman"/>
          <w:szCs w:val="24"/>
        </w:rPr>
      </w:pPr>
    </w:p>
    <w:p w14:paraId="19DE9D78" w14:textId="7D2EBACE" w:rsidR="00BC613E" w:rsidRPr="00461C42" w:rsidRDefault="00BC613E" w:rsidP="00461C42">
      <w:pPr>
        <w:spacing w:line="240" w:lineRule="auto"/>
        <w:ind w:left="720" w:right="720"/>
        <w:jc w:val="both"/>
        <w:rPr>
          <w:rFonts w:cs="Times New Roman"/>
          <w:szCs w:val="24"/>
        </w:rPr>
      </w:pPr>
      <w:r w:rsidRPr="00461C42">
        <w:rPr>
          <w:rFonts w:cs="Times New Roman"/>
          <w:szCs w:val="24"/>
        </w:rPr>
        <w:t>“The court properly admitted the rebuttal testimony of defendant</w:t>
      </w:r>
      <w:r w:rsidR="00E32DE8">
        <w:rPr>
          <w:rFonts w:cs="Times New Roman"/>
          <w:szCs w:val="24"/>
        </w:rPr>
        <w:t>’</w:t>
      </w:r>
      <w:r w:rsidRPr="00461C42">
        <w:rPr>
          <w:rFonts w:cs="Times New Roman"/>
          <w:szCs w:val="24"/>
        </w:rPr>
        <w:t>s former counsel concerning preindictment statements made by him to the District Attorney</w:t>
      </w:r>
      <w:r w:rsidR="00E32DE8">
        <w:rPr>
          <w:rFonts w:cs="Times New Roman"/>
          <w:szCs w:val="24"/>
        </w:rPr>
        <w:t>’</w:t>
      </w:r>
      <w:r w:rsidRPr="00461C42">
        <w:rPr>
          <w:rFonts w:cs="Times New Roman"/>
          <w:szCs w:val="24"/>
        </w:rPr>
        <w:t>s Office with defendant</w:t>
      </w:r>
      <w:r w:rsidR="00E32DE8">
        <w:rPr>
          <w:rFonts w:cs="Times New Roman"/>
          <w:szCs w:val="24"/>
        </w:rPr>
        <w:t>’</w:t>
      </w:r>
      <w:r w:rsidRPr="00461C42">
        <w:rPr>
          <w:rFonts w:cs="Times New Roman"/>
          <w:szCs w:val="24"/>
        </w:rPr>
        <w:t>s consent, regarding defendant</w:t>
      </w:r>
      <w:r w:rsidR="00E32DE8">
        <w:rPr>
          <w:rFonts w:cs="Times New Roman"/>
          <w:szCs w:val="24"/>
        </w:rPr>
        <w:t>’</w:t>
      </w:r>
      <w:r w:rsidRPr="00461C42">
        <w:rPr>
          <w:rFonts w:cs="Times New Roman"/>
          <w:szCs w:val="24"/>
        </w:rPr>
        <w:t>s whereabouts at the time of the robbery, which directly conflicted with the alibi defendant presented at trial. A statement made by an agent of a party, acting within the scope of his authority, is admissible as an admission against the party. This is not a case of using defendant</w:t>
      </w:r>
      <w:r w:rsidR="00E32DE8">
        <w:rPr>
          <w:rFonts w:cs="Times New Roman"/>
          <w:szCs w:val="24"/>
        </w:rPr>
        <w:t>’</w:t>
      </w:r>
      <w:r w:rsidRPr="00461C42">
        <w:rPr>
          <w:rFonts w:cs="Times New Roman"/>
          <w:szCs w:val="24"/>
        </w:rPr>
        <w:t>s withdrawn alibi notice to impeach him or his case, since there never was an alibi notice relating to the first alibi; instead, the first alibi was volunteered in an effort to forestall indictment. We reject defendant</w:t>
      </w:r>
      <w:r w:rsidR="00E32DE8">
        <w:rPr>
          <w:rFonts w:cs="Times New Roman"/>
          <w:szCs w:val="24"/>
        </w:rPr>
        <w:t>’</w:t>
      </w:r>
      <w:r w:rsidRPr="00461C42">
        <w:rPr>
          <w:rFonts w:cs="Times New Roman"/>
          <w:szCs w:val="24"/>
        </w:rPr>
        <w:t>s argument that the statement made by defendant</w:t>
      </w:r>
      <w:r w:rsidR="00E32DE8">
        <w:rPr>
          <w:rFonts w:cs="Times New Roman"/>
          <w:szCs w:val="24"/>
        </w:rPr>
        <w:t>’</w:t>
      </w:r>
      <w:r w:rsidRPr="00461C42">
        <w:rPr>
          <w:rFonts w:cs="Times New Roman"/>
          <w:szCs w:val="24"/>
        </w:rPr>
        <w:t>s original attorney to the prosecutor</w:t>
      </w:r>
      <w:r w:rsidR="00E32DE8">
        <w:rPr>
          <w:rFonts w:cs="Times New Roman"/>
          <w:szCs w:val="24"/>
        </w:rPr>
        <w:t>’</w:t>
      </w:r>
      <w:r w:rsidRPr="00461C42">
        <w:rPr>
          <w:rFonts w:cs="Times New Roman"/>
          <w:szCs w:val="24"/>
        </w:rPr>
        <w:t xml:space="preserve">s office was the </w:t>
      </w:r>
      <w:r w:rsidRPr="00461C42">
        <w:rPr>
          <w:rFonts w:cs="Times New Roman"/>
          <w:szCs w:val="24"/>
        </w:rPr>
        <w:lastRenderedPageBreak/>
        <w:t>equivalent of an alibi notice. On the contrary, counsel did not provide this statement as a form of disclosure mandated by CPL 250.20”</w:t>
      </w:r>
      <w:r w:rsidR="00FB2476" w:rsidRPr="00461C42">
        <w:rPr>
          <w:rFonts w:cs="Times New Roman"/>
          <w:szCs w:val="24"/>
        </w:rPr>
        <w:t xml:space="preserve"> (</w:t>
      </w:r>
      <w:r w:rsidRPr="00461C42">
        <w:rPr>
          <w:rFonts w:cs="Times New Roman"/>
          <w:i/>
          <w:iCs/>
          <w:szCs w:val="24"/>
        </w:rPr>
        <w:t xml:space="preserve">McGraw </w:t>
      </w:r>
      <w:r w:rsidRPr="00461C42">
        <w:rPr>
          <w:rFonts w:cs="Times New Roman"/>
          <w:szCs w:val="24"/>
        </w:rPr>
        <w:t xml:space="preserve">at 302-303 </w:t>
      </w:r>
      <w:r w:rsidR="00FB2476" w:rsidRPr="00461C42">
        <w:rPr>
          <w:rFonts w:cs="Times New Roman"/>
          <w:szCs w:val="24"/>
        </w:rPr>
        <w:t>[</w:t>
      </w:r>
      <w:r w:rsidRPr="00461C42">
        <w:rPr>
          <w:rFonts w:cs="Times New Roman"/>
          <w:szCs w:val="24"/>
        </w:rPr>
        <w:t>citations omitted</w:t>
      </w:r>
      <w:r w:rsidR="00FB2476" w:rsidRPr="00461C42">
        <w:rPr>
          <w:rFonts w:cs="Times New Roman"/>
          <w:szCs w:val="24"/>
        </w:rPr>
        <w:t xml:space="preserve">]; </w:t>
      </w:r>
      <w:r w:rsidR="00FB2476" w:rsidRPr="00461C42">
        <w:rPr>
          <w:rFonts w:cs="Times New Roman"/>
          <w:i/>
          <w:iCs/>
          <w:szCs w:val="24"/>
        </w:rPr>
        <w:t>s</w:t>
      </w:r>
      <w:r w:rsidRPr="00461C42">
        <w:rPr>
          <w:rFonts w:cs="Times New Roman"/>
          <w:i/>
          <w:iCs/>
          <w:szCs w:val="24"/>
        </w:rPr>
        <w:t>ee People v Johnson</w:t>
      </w:r>
      <w:r w:rsidRPr="00461C42">
        <w:rPr>
          <w:rFonts w:cs="Times New Roman"/>
          <w:szCs w:val="24"/>
        </w:rPr>
        <w:t>, 46 AD3d 276, 278 [1st Dept 2007] [absent a notice of alibi having been filed, the defendant was properly impeached during cross-examination by her attorney</w:t>
      </w:r>
      <w:r w:rsidR="0003434D">
        <w:rPr>
          <w:rFonts w:cs="Times New Roman"/>
          <w:szCs w:val="24"/>
        </w:rPr>
        <w:t>’</w:t>
      </w:r>
      <w:r w:rsidRPr="00461C42">
        <w:rPr>
          <w:rFonts w:cs="Times New Roman"/>
          <w:szCs w:val="24"/>
        </w:rPr>
        <w:t>s statements made at a prior bail application given “a reasonable inference that such statements were attributable to defendant, and they significantly contradicted her trial testimony”]</w:t>
      </w:r>
      <w:r w:rsidR="00FB2476" w:rsidRPr="00461C42">
        <w:rPr>
          <w:rFonts w:cs="Times New Roman"/>
          <w:szCs w:val="24"/>
        </w:rPr>
        <w:t xml:space="preserve">; </w:t>
      </w:r>
      <w:r w:rsidR="00FB2476" w:rsidRPr="00461C42">
        <w:rPr>
          <w:rFonts w:cs="Times New Roman"/>
          <w:i/>
          <w:iCs/>
          <w:szCs w:val="24"/>
        </w:rPr>
        <w:t>c</w:t>
      </w:r>
      <w:r w:rsidRPr="00461C42">
        <w:rPr>
          <w:rFonts w:cs="Times New Roman"/>
          <w:i/>
          <w:iCs/>
          <w:szCs w:val="24"/>
        </w:rPr>
        <w:t>f</w:t>
      </w:r>
      <w:r w:rsidRPr="00461C42">
        <w:rPr>
          <w:rFonts w:cs="Times New Roman"/>
          <w:szCs w:val="24"/>
        </w:rPr>
        <w:t>. Guide to NY Evid rule</w:t>
      </w:r>
      <w:r w:rsidR="00FB2476" w:rsidRPr="00461C42">
        <w:rPr>
          <w:rFonts w:cs="Times New Roman"/>
          <w:szCs w:val="24"/>
        </w:rPr>
        <w:t xml:space="preserve">s </w:t>
      </w:r>
      <w:r w:rsidRPr="00461C42">
        <w:rPr>
          <w:rFonts w:cs="Times New Roman"/>
          <w:szCs w:val="24"/>
        </w:rPr>
        <w:t>8.03, Admission by Party</w:t>
      </w:r>
      <w:r w:rsidR="00FB2476" w:rsidRPr="00461C42">
        <w:rPr>
          <w:rFonts w:cs="Times New Roman"/>
          <w:szCs w:val="24"/>
        </w:rPr>
        <w:t xml:space="preserve"> </w:t>
      </w:r>
      <w:r w:rsidRPr="00461C42">
        <w:rPr>
          <w:rFonts w:cs="Times New Roman"/>
          <w:szCs w:val="24"/>
        </w:rPr>
        <w:t>and 6.14, Impeachment by Evidence Improperly Obtained).</w:t>
      </w:r>
    </w:p>
    <w:p w14:paraId="0C4BC02A" w14:textId="77777777" w:rsidR="00BC613E" w:rsidRPr="00461C42" w:rsidRDefault="00BC613E" w:rsidP="00461C42">
      <w:pPr>
        <w:spacing w:line="240" w:lineRule="auto"/>
        <w:ind w:left="0"/>
        <w:jc w:val="both"/>
        <w:rPr>
          <w:rFonts w:cs="Times New Roman"/>
          <w:szCs w:val="24"/>
        </w:rPr>
      </w:pPr>
    </w:p>
    <w:p w14:paraId="5117CE3E" w14:textId="78DD4E2A" w:rsidR="00BC613E" w:rsidRPr="00461C42" w:rsidRDefault="00461C42" w:rsidP="00461C42">
      <w:pPr>
        <w:shd w:val="clear" w:color="auto" w:fill="FFFFFF"/>
        <w:tabs>
          <w:tab w:val="left" w:pos="720"/>
        </w:tabs>
        <w:spacing w:line="240" w:lineRule="auto"/>
        <w:ind w:left="0" w:right="0"/>
        <w:jc w:val="both"/>
        <w:rPr>
          <w:rFonts w:eastAsia="Times New Roman" w:cs="Times New Roman"/>
          <w:color w:val="000000"/>
          <w:szCs w:val="24"/>
        </w:rPr>
      </w:pPr>
      <w:r>
        <w:rPr>
          <w:rFonts w:eastAsia="Times New Roman" w:cs="Times New Roman"/>
          <w:b/>
          <w:bCs/>
          <w:color w:val="000000"/>
          <w:szCs w:val="24"/>
        </w:rPr>
        <w:tab/>
      </w:r>
      <w:r w:rsidR="00BC613E" w:rsidRPr="00461C42">
        <w:rPr>
          <w:rFonts w:eastAsia="Times New Roman" w:cs="Times New Roman"/>
          <w:b/>
          <w:bCs/>
          <w:color w:val="000000"/>
          <w:szCs w:val="24"/>
        </w:rPr>
        <w:t xml:space="preserve">Subdivision (3) </w:t>
      </w:r>
      <w:r w:rsidR="00BC613E" w:rsidRPr="00461C42">
        <w:rPr>
          <w:rFonts w:eastAsia="Times New Roman" w:cs="Times New Roman"/>
          <w:color w:val="000000"/>
          <w:szCs w:val="24"/>
        </w:rPr>
        <w:t>is derived from</w:t>
      </w:r>
      <w:r w:rsidR="00BC613E" w:rsidRPr="00461C42">
        <w:rPr>
          <w:rFonts w:eastAsia="Times New Roman" w:cs="Times New Roman"/>
          <w:i/>
          <w:iCs/>
          <w:color w:val="000000"/>
          <w:szCs w:val="24"/>
        </w:rPr>
        <w:t xml:space="preserve"> People v Dawson</w:t>
      </w:r>
      <w:r w:rsidR="00BC613E" w:rsidRPr="00461C42">
        <w:rPr>
          <w:rFonts w:eastAsia="Times New Roman" w:cs="Times New Roman"/>
          <w:color w:val="000000"/>
          <w:szCs w:val="24"/>
        </w:rPr>
        <w:t xml:space="preserve"> </w:t>
      </w:r>
      <w:r w:rsidR="00FB2476" w:rsidRPr="00461C42">
        <w:rPr>
          <w:rFonts w:eastAsia="Times New Roman" w:cs="Times New Roman"/>
          <w:color w:val="000000"/>
          <w:szCs w:val="24"/>
        </w:rPr>
        <w:t>(</w:t>
      </w:r>
      <w:r w:rsidR="00BC613E" w:rsidRPr="00461C42">
        <w:rPr>
          <w:rFonts w:eastAsia="Times New Roman" w:cs="Times New Roman"/>
          <w:color w:val="000000"/>
          <w:szCs w:val="24"/>
        </w:rPr>
        <w:t>50 NY2d 31</w:t>
      </w:r>
      <w:r w:rsidR="00FB2476" w:rsidRPr="00461C42">
        <w:rPr>
          <w:rFonts w:eastAsia="Times New Roman" w:cs="Times New Roman"/>
          <w:color w:val="000000"/>
          <w:szCs w:val="24"/>
        </w:rPr>
        <w:t xml:space="preserve">1 </w:t>
      </w:r>
      <w:r w:rsidR="00BC613E" w:rsidRPr="00461C42">
        <w:rPr>
          <w:rFonts w:eastAsia="Times New Roman" w:cs="Times New Roman"/>
          <w:color w:val="000000"/>
          <w:szCs w:val="24"/>
        </w:rPr>
        <w:t>[1980]</w:t>
      </w:r>
      <w:r w:rsidR="00FB2476" w:rsidRPr="00461C42">
        <w:rPr>
          <w:rFonts w:eastAsia="Times New Roman" w:cs="Times New Roman"/>
          <w:color w:val="000000"/>
          <w:szCs w:val="24"/>
        </w:rPr>
        <w:t>)</w:t>
      </w:r>
      <w:r w:rsidR="00BC613E" w:rsidRPr="00461C42">
        <w:rPr>
          <w:rFonts w:eastAsia="Times New Roman" w:cs="Times New Roman"/>
          <w:color w:val="000000"/>
          <w:szCs w:val="24"/>
        </w:rPr>
        <w:t xml:space="preserve">. While permitting cross-examination of an alibi witness for failure to come forward before trial to law enforcement authorities, </w:t>
      </w:r>
      <w:r w:rsidR="00BC613E" w:rsidRPr="00461C42">
        <w:rPr>
          <w:rFonts w:eastAsia="Times New Roman" w:cs="Times New Roman"/>
          <w:i/>
          <w:iCs/>
          <w:color w:val="000000"/>
          <w:szCs w:val="24"/>
        </w:rPr>
        <w:t>Dawson</w:t>
      </w:r>
      <w:r w:rsidR="00BC613E" w:rsidRPr="00461C42">
        <w:rPr>
          <w:rFonts w:eastAsia="Times New Roman" w:cs="Times New Roman"/>
          <w:color w:val="000000"/>
          <w:szCs w:val="24"/>
        </w:rPr>
        <w:t xml:space="preserve"> added some cautionary notes:</w:t>
      </w:r>
    </w:p>
    <w:p w14:paraId="19500933" w14:textId="77777777" w:rsidR="00BC613E" w:rsidRPr="00461C42" w:rsidRDefault="00BC613E" w:rsidP="00461C42">
      <w:pPr>
        <w:shd w:val="clear" w:color="auto" w:fill="FFFFFF"/>
        <w:spacing w:line="240" w:lineRule="auto"/>
        <w:jc w:val="both"/>
        <w:rPr>
          <w:rFonts w:eastAsia="Times New Roman" w:cs="Times New Roman"/>
          <w:color w:val="000000"/>
          <w:szCs w:val="24"/>
        </w:rPr>
      </w:pPr>
    </w:p>
    <w:p w14:paraId="1402CF91" w14:textId="05C5EA67" w:rsidR="00BC613E" w:rsidRPr="00461C42" w:rsidRDefault="00BC613E" w:rsidP="00461C42">
      <w:pPr>
        <w:shd w:val="clear" w:color="auto" w:fill="FFFFFF"/>
        <w:spacing w:line="240" w:lineRule="auto"/>
        <w:ind w:left="720" w:right="720"/>
        <w:jc w:val="both"/>
        <w:rPr>
          <w:rFonts w:eastAsia="Times New Roman" w:cs="Times New Roman"/>
          <w:color w:val="000000"/>
          <w:szCs w:val="24"/>
          <w:shd w:val="clear" w:color="auto" w:fill="FFFFFF"/>
        </w:rPr>
      </w:pPr>
      <w:r w:rsidRPr="00461C42">
        <w:rPr>
          <w:rFonts w:eastAsia="Times New Roman" w:cs="Times New Roman"/>
          <w:color w:val="000000"/>
          <w:szCs w:val="24"/>
          <w:shd w:val="clear" w:color="auto" w:fill="FFFFFF"/>
        </w:rPr>
        <w:t>“</w:t>
      </w:r>
      <w:r w:rsidR="00646C8F" w:rsidRPr="00461C42">
        <w:rPr>
          <w:rFonts w:eastAsia="Times New Roman" w:cs="Times New Roman"/>
          <w:color w:val="000000"/>
          <w:szCs w:val="24"/>
          <w:shd w:val="clear" w:color="auto" w:fill="FFFFFF"/>
        </w:rPr>
        <w:t>[T]</w:t>
      </w:r>
      <w:r w:rsidRPr="00461C42">
        <w:rPr>
          <w:rFonts w:eastAsia="Times New Roman" w:cs="Times New Roman"/>
          <w:color w:val="000000"/>
          <w:szCs w:val="24"/>
          <w:shd w:val="clear" w:color="auto" w:fill="FFFFFF"/>
        </w:rPr>
        <w:t>he Trial Judge should inform the jurors, upon request, that the witness has no civic or moral obligation to volunteer exculpatory information to law enforcement authorities and that they may consider the witness</w:t>
      </w:r>
      <w:r w:rsidR="0003434D">
        <w:rPr>
          <w:rFonts w:eastAsia="Times New Roman" w:cs="Times New Roman"/>
          <w:color w:val="000000"/>
          <w:szCs w:val="24"/>
          <w:shd w:val="clear" w:color="auto" w:fill="FFFFFF"/>
        </w:rPr>
        <w:t>’</w:t>
      </w:r>
      <w:r w:rsidRPr="00461C42">
        <w:rPr>
          <w:rFonts w:eastAsia="Times New Roman" w:cs="Times New Roman"/>
          <w:color w:val="000000"/>
          <w:szCs w:val="24"/>
          <w:shd w:val="clear" w:color="auto" w:fill="FFFFFF"/>
        </w:rPr>
        <w:t xml:space="preserve"> prior failure to come forward only insofar as it casts doubt upon the witness</w:t>
      </w:r>
      <w:r w:rsidR="0003434D">
        <w:rPr>
          <w:rFonts w:eastAsia="Times New Roman" w:cs="Times New Roman"/>
          <w:color w:val="000000"/>
          <w:szCs w:val="24"/>
          <w:shd w:val="clear" w:color="auto" w:fill="FFFFFF"/>
        </w:rPr>
        <w:t>’</w:t>
      </w:r>
      <w:r w:rsidRPr="00461C42">
        <w:rPr>
          <w:rFonts w:eastAsia="Times New Roman" w:cs="Times New Roman"/>
          <w:color w:val="000000"/>
          <w:szCs w:val="24"/>
          <w:shd w:val="clear" w:color="auto" w:fill="FFFFFF"/>
        </w:rPr>
        <w:t xml:space="preserve"> in-court statements by reason of its apparent inconsistency. Finally, when such questioning begins, the Trial Judge should call a bench conference to ascertain whether the witness refrained from speaking under the advice of defense counsel, for in such a case examination on the issue of the witness</w:t>
      </w:r>
      <w:r w:rsidR="0003434D">
        <w:rPr>
          <w:rFonts w:eastAsia="Times New Roman" w:cs="Times New Roman"/>
          <w:color w:val="000000"/>
          <w:szCs w:val="24"/>
          <w:shd w:val="clear" w:color="auto" w:fill="FFFFFF"/>
        </w:rPr>
        <w:t>’</w:t>
      </w:r>
      <w:r w:rsidRPr="00461C42">
        <w:rPr>
          <w:rFonts w:eastAsia="Times New Roman" w:cs="Times New Roman"/>
          <w:color w:val="000000"/>
          <w:szCs w:val="24"/>
          <w:shd w:val="clear" w:color="auto" w:fill="FFFFFF"/>
        </w:rPr>
        <w:t xml:space="preserve"> </w:t>
      </w:r>
      <w:proofErr w:type="spellStart"/>
      <w:r w:rsidRPr="00461C42">
        <w:rPr>
          <w:rFonts w:eastAsia="Times New Roman" w:cs="Times New Roman"/>
          <w:color w:val="000000"/>
          <w:szCs w:val="24"/>
          <w:shd w:val="clear" w:color="auto" w:fill="FFFFFF"/>
        </w:rPr>
        <w:t>postconsultation</w:t>
      </w:r>
      <w:proofErr w:type="spellEnd"/>
      <w:r w:rsidRPr="00461C42">
        <w:rPr>
          <w:rFonts w:eastAsia="Times New Roman" w:cs="Times New Roman"/>
          <w:color w:val="000000"/>
          <w:szCs w:val="24"/>
          <w:shd w:val="clear" w:color="auto" w:fill="FFFFFF"/>
        </w:rPr>
        <w:t xml:space="preserve"> silence would be improper and could well result in a mistrial”</w:t>
      </w:r>
      <w:r w:rsidR="00FB2476" w:rsidRPr="00461C42">
        <w:rPr>
          <w:rFonts w:eastAsia="Times New Roman" w:cs="Times New Roman"/>
          <w:color w:val="000000"/>
          <w:szCs w:val="24"/>
          <w:shd w:val="clear" w:color="auto" w:fill="FFFFFF"/>
        </w:rPr>
        <w:t xml:space="preserve"> (</w:t>
      </w:r>
      <w:r w:rsidRPr="00461C42">
        <w:rPr>
          <w:rFonts w:eastAsia="Times New Roman" w:cs="Times New Roman"/>
          <w:i/>
          <w:iCs/>
          <w:color w:val="000000"/>
          <w:szCs w:val="24"/>
          <w:shd w:val="clear" w:color="auto" w:fill="FFFFFF"/>
        </w:rPr>
        <w:t>Dawson</w:t>
      </w:r>
      <w:r w:rsidRPr="00461C42">
        <w:rPr>
          <w:rFonts w:eastAsia="Times New Roman" w:cs="Times New Roman"/>
          <w:color w:val="000000"/>
          <w:szCs w:val="24"/>
          <w:shd w:val="clear" w:color="auto" w:fill="FFFFFF"/>
        </w:rPr>
        <w:t xml:space="preserve"> at </w:t>
      </w:r>
      <w:r w:rsidR="00646C8F" w:rsidRPr="00461C42">
        <w:rPr>
          <w:rFonts w:eastAsia="Times New Roman" w:cs="Times New Roman"/>
          <w:color w:val="000000"/>
          <w:szCs w:val="24"/>
          <w:shd w:val="clear" w:color="auto" w:fill="FFFFFF"/>
        </w:rPr>
        <w:t>3</w:t>
      </w:r>
      <w:r w:rsidRPr="00461C42">
        <w:rPr>
          <w:rFonts w:eastAsia="Times New Roman" w:cs="Times New Roman"/>
          <w:color w:val="000000"/>
          <w:szCs w:val="24"/>
          <w:shd w:val="clear" w:color="auto" w:fill="FFFFFF"/>
        </w:rPr>
        <w:t>2</w:t>
      </w:r>
      <w:r w:rsidR="00646C8F" w:rsidRPr="00461C42">
        <w:rPr>
          <w:rFonts w:eastAsia="Times New Roman" w:cs="Times New Roman"/>
          <w:color w:val="000000"/>
          <w:szCs w:val="24"/>
          <w:shd w:val="clear" w:color="auto" w:fill="FFFFFF"/>
        </w:rPr>
        <w:t>2</w:t>
      </w:r>
      <w:r w:rsidRPr="00461C42">
        <w:rPr>
          <w:rFonts w:eastAsia="Times New Roman" w:cs="Times New Roman"/>
          <w:color w:val="000000"/>
          <w:szCs w:val="24"/>
          <w:shd w:val="clear" w:color="auto" w:fill="FFFFFF"/>
        </w:rPr>
        <w:t>-</w:t>
      </w:r>
      <w:r w:rsidR="00646C8F" w:rsidRPr="00461C42">
        <w:rPr>
          <w:rFonts w:eastAsia="Times New Roman" w:cs="Times New Roman"/>
          <w:color w:val="000000"/>
          <w:szCs w:val="24"/>
          <w:shd w:val="clear" w:color="auto" w:fill="FFFFFF"/>
        </w:rPr>
        <w:t>3</w:t>
      </w:r>
      <w:r w:rsidRPr="00461C42">
        <w:rPr>
          <w:rFonts w:eastAsia="Times New Roman" w:cs="Times New Roman"/>
          <w:color w:val="000000"/>
          <w:szCs w:val="24"/>
          <w:shd w:val="clear" w:color="auto" w:fill="FFFFFF"/>
        </w:rPr>
        <w:t>23</w:t>
      </w:r>
      <w:r w:rsidR="00FB2476" w:rsidRPr="00461C42">
        <w:rPr>
          <w:rFonts w:eastAsia="Times New Roman" w:cs="Times New Roman"/>
          <w:color w:val="000000"/>
          <w:szCs w:val="24"/>
          <w:shd w:val="clear" w:color="auto" w:fill="FFFFFF"/>
        </w:rPr>
        <w:t xml:space="preserve">; </w:t>
      </w:r>
      <w:r w:rsidR="00FB2476" w:rsidRPr="00461C42">
        <w:rPr>
          <w:rFonts w:eastAsia="Times New Roman" w:cs="Times New Roman"/>
          <w:i/>
          <w:iCs/>
          <w:color w:val="000000"/>
          <w:szCs w:val="24"/>
          <w:shd w:val="clear" w:color="auto" w:fill="FFFFFF"/>
        </w:rPr>
        <w:t>s</w:t>
      </w:r>
      <w:r w:rsidRPr="00461C42">
        <w:rPr>
          <w:rFonts w:eastAsia="Times New Roman" w:cs="Times New Roman"/>
          <w:i/>
          <w:iCs/>
          <w:color w:val="000000"/>
          <w:szCs w:val="24"/>
          <w:shd w:val="clear" w:color="auto" w:fill="FFFFFF"/>
        </w:rPr>
        <w:t>ee People v Jenkins</w:t>
      </w:r>
      <w:r w:rsidRPr="00461C42">
        <w:rPr>
          <w:rFonts w:eastAsia="Times New Roman" w:cs="Times New Roman"/>
          <w:color w:val="000000"/>
          <w:szCs w:val="24"/>
          <w:shd w:val="clear" w:color="auto" w:fill="FFFFFF"/>
        </w:rPr>
        <w:t xml:space="preserve">, 88 NY2d 948, 950 [1996] </w:t>
      </w:r>
      <w:r w:rsidRPr="00461C42">
        <w:rPr>
          <w:rFonts w:eastAsia="Times New Roman" w:cs="Times New Roman"/>
          <w:szCs w:val="24"/>
          <w:shd w:val="clear" w:color="auto" w:fill="FFFFFF"/>
        </w:rPr>
        <w:t>[an alibi witness was properly impeached because a close relative or friend</w:t>
      </w:r>
      <w:r w:rsidR="0003434D">
        <w:rPr>
          <w:rFonts w:eastAsia="Times New Roman" w:cs="Times New Roman"/>
          <w:szCs w:val="24"/>
          <w:shd w:val="clear" w:color="auto" w:fill="FFFFFF"/>
        </w:rPr>
        <w:t>’</w:t>
      </w:r>
      <w:r w:rsidRPr="00461C42">
        <w:rPr>
          <w:rFonts w:eastAsia="Times New Roman" w:cs="Times New Roman"/>
          <w:szCs w:val="24"/>
          <w:shd w:val="clear" w:color="auto" w:fill="FFFFFF"/>
        </w:rPr>
        <w:t xml:space="preserve">s </w:t>
      </w:r>
      <w:r w:rsidR="00E32DE8">
        <w:rPr>
          <w:rFonts w:eastAsia="Times New Roman" w:cs="Times New Roman"/>
          <w:szCs w:val="24"/>
          <w:shd w:val="clear" w:color="auto" w:fill="FFFFFF"/>
        </w:rPr>
        <w:t>“</w:t>
      </w:r>
      <w:r w:rsidRPr="00461C42">
        <w:rPr>
          <w:rFonts w:eastAsia="Times New Roman" w:cs="Times New Roman"/>
          <w:szCs w:val="24"/>
          <w:shd w:val="clear" w:color="auto" w:fill="FFFFFF"/>
        </w:rPr>
        <w:t>k</w:t>
      </w:r>
      <w:r w:rsidRPr="00461C42">
        <w:rPr>
          <w:rFonts w:eastAsia="Times New Roman" w:cs="Times New Roman"/>
          <w:color w:val="000000"/>
          <w:szCs w:val="24"/>
          <w:shd w:val="clear" w:color="auto" w:fill="FFFFFF"/>
        </w:rPr>
        <w:t>nowledge that defendant is incarcerated pending trial may be reasonably found to be inconsistent with the witness</w:t>
      </w:r>
      <w:r w:rsidR="0003434D">
        <w:rPr>
          <w:rFonts w:eastAsia="Times New Roman" w:cs="Times New Roman"/>
          <w:color w:val="000000"/>
          <w:szCs w:val="24"/>
          <w:shd w:val="clear" w:color="auto" w:fill="FFFFFF"/>
        </w:rPr>
        <w:t>’</w:t>
      </w:r>
      <w:r w:rsidRPr="00461C42">
        <w:rPr>
          <w:rFonts w:eastAsia="Times New Roman" w:cs="Times New Roman"/>
          <w:color w:val="000000"/>
          <w:szCs w:val="24"/>
          <w:shd w:val="clear" w:color="auto" w:fill="FFFFFF"/>
        </w:rPr>
        <w:t xml:space="preserve"> failure to come forward with exculpatory evidence which might result in the accused</w:t>
      </w:r>
      <w:r w:rsidR="0003434D">
        <w:rPr>
          <w:rFonts w:eastAsia="Times New Roman" w:cs="Times New Roman"/>
          <w:color w:val="000000"/>
          <w:szCs w:val="24"/>
          <w:shd w:val="clear" w:color="auto" w:fill="FFFFFF"/>
        </w:rPr>
        <w:t>’</w:t>
      </w:r>
      <w:r w:rsidRPr="00461C42">
        <w:rPr>
          <w:rFonts w:eastAsia="Times New Roman" w:cs="Times New Roman"/>
          <w:color w:val="000000"/>
          <w:szCs w:val="24"/>
          <w:shd w:val="clear" w:color="auto" w:fill="FFFFFF"/>
        </w:rPr>
        <w:t>s being freed”]</w:t>
      </w:r>
      <w:r w:rsidR="00646C8F" w:rsidRPr="00461C42">
        <w:rPr>
          <w:rFonts w:eastAsia="Times New Roman" w:cs="Times New Roman"/>
          <w:color w:val="000000"/>
          <w:szCs w:val="24"/>
          <w:shd w:val="clear" w:color="auto" w:fill="FFFFFF"/>
        </w:rPr>
        <w:t xml:space="preserve">; </w:t>
      </w:r>
      <w:r w:rsidR="00646C8F" w:rsidRPr="00461C42">
        <w:rPr>
          <w:rFonts w:eastAsia="Times New Roman" w:cs="Times New Roman"/>
          <w:i/>
          <w:iCs/>
          <w:color w:val="000000"/>
          <w:szCs w:val="24"/>
          <w:shd w:val="clear" w:color="auto" w:fill="FFFFFF"/>
        </w:rPr>
        <w:t>c</w:t>
      </w:r>
      <w:r w:rsidRPr="00461C42">
        <w:rPr>
          <w:rFonts w:eastAsia="Times New Roman" w:cs="Times New Roman"/>
          <w:i/>
          <w:iCs/>
          <w:color w:val="000000"/>
          <w:szCs w:val="24"/>
          <w:shd w:val="clear" w:color="auto" w:fill="FFFFFF"/>
        </w:rPr>
        <w:t>f.</w:t>
      </w:r>
      <w:r w:rsidRPr="00461C42">
        <w:rPr>
          <w:rFonts w:eastAsia="Times New Roman" w:cs="Times New Roman"/>
          <w:color w:val="000000"/>
          <w:szCs w:val="24"/>
          <w:shd w:val="clear" w:color="auto" w:fill="FFFFFF"/>
        </w:rPr>
        <w:t xml:space="preserve"> </w:t>
      </w:r>
      <w:r w:rsidRPr="00461C42">
        <w:rPr>
          <w:rFonts w:eastAsia="Times New Roman" w:cs="Times New Roman"/>
          <w:i/>
          <w:color w:val="000000"/>
          <w:szCs w:val="24"/>
          <w:shd w:val="clear" w:color="auto" w:fill="FFFFFF"/>
          <w:lang w:val="x-none"/>
        </w:rPr>
        <w:t>People v Burgos</w:t>
      </w:r>
      <w:r w:rsidRPr="00461C42">
        <w:rPr>
          <w:rFonts w:eastAsia="Times New Roman" w:cs="Times New Roman"/>
          <w:color w:val="000000"/>
          <w:szCs w:val="24"/>
          <w:shd w:val="clear" w:color="auto" w:fill="FFFFFF"/>
          <w:lang w:val="x-none"/>
        </w:rPr>
        <w:t>, 50 NY2d 992</w:t>
      </w:r>
      <w:r w:rsidRPr="00461C42">
        <w:rPr>
          <w:rFonts w:eastAsia="Times New Roman" w:cs="Times New Roman"/>
          <w:color w:val="000000"/>
          <w:szCs w:val="24"/>
          <w:shd w:val="clear" w:color="auto" w:fill="FFFFFF"/>
        </w:rPr>
        <w:t>, 993-</w:t>
      </w:r>
      <w:r w:rsidR="00646C8F" w:rsidRPr="00461C42">
        <w:rPr>
          <w:rFonts w:eastAsia="Times New Roman" w:cs="Times New Roman"/>
          <w:color w:val="000000"/>
          <w:szCs w:val="24"/>
          <w:shd w:val="clear" w:color="auto" w:fill="FFFFFF"/>
        </w:rPr>
        <w:t>9</w:t>
      </w:r>
      <w:r w:rsidRPr="00461C42">
        <w:rPr>
          <w:rFonts w:eastAsia="Times New Roman" w:cs="Times New Roman"/>
          <w:color w:val="000000"/>
          <w:szCs w:val="24"/>
          <w:shd w:val="clear" w:color="auto" w:fill="FFFFFF"/>
        </w:rPr>
        <w:t>94 [1980] [“It was error for the Trial Judge to refuse to advise the jury that defendant</w:t>
      </w:r>
      <w:r w:rsidR="0003434D">
        <w:rPr>
          <w:rFonts w:eastAsia="Times New Roman" w:cs="Times New Roman"/>
          <w:color w:val="000000"/>
          <w:szCs w:val="24"/>
          <w:shd w:val="clear" w:color="auto" w:fill="FFFFFF"/>
        </w:rPr>
        <w:t>’</w:t>
      </w:r>
      <w:r w:rsidRPr="00461C42">
        <w:rPr>
          <w:rFonts w:eastAsia="Times New Roman" w:cs="Times New Roman"/>
          <w:color w:val="000000"/>
          <w:szCs w:val="24"/>
          <w:shd w:val="clear" w:color="auto" w:fill="FFFFFF"/>
        </w:rPr>
        <w:t xml:space="preserve">s alibi witnesses had no duty to volunteer exculpatory information to law enforcement authorities” and it would have been </w:t>
      </w:r>
      <w:bookmarkStart w:id="1" w:name="_Hlk71798694"/>
      <w:r w:rsidRPr="00461C42">
        <w:rPr>
          <w:rFonts w:eastAsia="Times New Roman" w:cs="Times New Roman"/>
          <w:color w:val="000000"/>
          <w:szCs w:val="24"/>
          <w:shd w:val="clear" w:color="auto" w:fill="FFFFFF"/>
        </w:rPr>
        <w:t>“best had the court stricken the entire line of questioning”</w:t>
      </w:r>
      <w:bookmarkEnd w:id="1"/>
      <w:r w:rsidRPr="00461C42">
        <w:rPr>
          <w:rFonts w:eastAsia="Times New Roman" w:cs="Times New Roman"/>
          <w:color w:val="000000"/>
          <w:szCs w:val="24"/>
          <w:shd w:val="clear" w:color="auto" w:fill="FFFFFF"/>
        </w:rPr>
        <w:t xml:space="preserve"> when it was apparent that defense counsel had advised the witness that the witness had no duty to advise the authorities of the alibi])</w:t>
      </w:r>
      <w:r w:rsidR="00646C8F" w:rsidRPr="00461C42">
        <w:rPr>
          <w:rFonts w:eastAsia="Times New Roman" w:cs="Times New Roman"/>
          <w:color w:val="000000"/>
          <w:szCs w:val="24"/>
          <w:shd w:val="clear" w:color="auto" w:fill="FFFFFF"/>
        </w:rPr>
        <w:t>.</w:t>
      </w:r>
    </w:p>
    <w:p w14:paraId="4AE1B2AF" w14:textId="77777777" w:rsidR="00BC613E" w:rsidRPr="00461C42" w:rsidRDefault="00BC613E" w:rsidP="00461C42">
      <w:pPr>
        <w:shd w:val="clear" w:color="auto" w:fill="FFFFFF"/>
        <w:spacing w:line="240" w:lineRule="auto"/>
        <w:ind w:left="0"/>
        <w:rPr>
          <w:rFonts w:eastAsia="Times New Roman" w:cs="Times New Roman"/>
          <w:szCs w:val="24"/>
          <w:shd w:val="clear" w:color="auto" w:fill="FFFFFF"/>
        </w:rPr>
      </w:pPr>
    </w:p>
    <w:p w14:paraId="4F90C894" w14:textId="3E604981" w:rsidR="00BC613E" w:rsidRPr="00461C42" w:rsidRDefault="003D01F7" w:rsidP="003D01F7">
      <w:pPr>
        <w:shd w:val="clear" w:color="auto" w:fill="FFFFFF"/>
        <w:tabs>
          <w:tab w:val="left" w:pos="720"/>
        </w:tabs>
        <w:spacing w:line="240" w:lineRule="auto"/>
        <w:ind w:left="0" w:right="0"/>
        <w:jc w:val="both"/>
        <w:rPr>
          <w:rFonts w:eastAsia="Times New Roman" w:cs="Times New Roman"/>
          <w:szCs w:val="24"/>
          <w:shd w:val="clear" w:color="auto" w:fill="FFFFFF"/>
        </w:rPr>
      </w:pPr>
      <w:r>
        <w:rPr>
          <w:rFonts w:eastAsia="Times New Roman" w:cs="Times New Roman"/>
          <w:i/>
          <w:iCs/>
          <w:szCs w:val="24"/>
          <w:shd w:val="clear" w:color="auto" w:fill="FFFFFF"/>
        </w:rPr>
        <w:tab/>
      </w:r>
      <w:r w:rsidR="00BC613E" w:rsidRPr="00461C42">
        <w:rPr>
          <w:rFonts w:eastAsia="Times New Roman" w:cs="Times New Roman"/>
          <w:i/>
          <w:iCs/>
          <w:szCs w:val="24"/>
          <w:shd w:val="clear" w:color="auto" w:fill="FFFFFF"/>
        </w:rPr>
        <w:t>Dawson</w:t>
      </w:r>
      <w:r w:rsidR="00BC613E" w:rsidRPr="00461C42">
        <w:rPr>
          <w:rFonts w:eastAsia="Times New Roman" w:cs="Times New Roman"/>
          <w:szCs w:val="24"/>
          <w:shd w:val="clear" w:color="auto" w:fill="FFFFFF"/>
        </w:rPr>
        <w:t xml:space="preserve"> at 321 n</w:t>
      </w:r>
      <w:r w:rsidR="00780153" w:rsidRPr="00461C42">
        <w:rPr>
          <w:rFonts w:eastAsia="Times New Roman" w:cs="Times New Roman"/>
          <w:szCs w:val="24"/>
          <w:shd w:val="clear" w:color="auto" w:fill="FFFFFF"/>
        </w:rPr>
        <w:t xml:space="preserve"> </w:t>
      </w:r>
      <w:r w:rsidR="00BC613E" w:rsidRPr="00461C42">
        <w:rPr>
          <w:rFonts w:eastAsia="Times New Roman" w:cs="Times New Roman"/>
          <w:szCs w:val="24"/>
          <w:shd w:val="clear" w:color="auto" w:fill="FFFFFF"/>
        </w:rPr>
        <w:t>4 sets forth the foundational elements for a cross-examination:</w:t>
      </w:r>
    </w:p>
    <w:p w14:paraId="006BA9EA" w14:textId="77777777" w:rsidR="00BC613E" w:rsidRPr="00461C42" w:rsidRDefault="00BC613E" w:rsidP="00461C42">
      <w:pPr>
        <w:shd w:val="clear" w:color="auto" w:fill="FFFFFF"/>
        <w:spacing w:line="240" w:lineRule="auto"/>
        <w:ind w:left="0" w:right="0"/>
        <w:jc w:val="both"/>
        <w:rPr>
          <w:rFonts w:eastAsia="Times New Roman" w:cs="Times New Roman"/>
          <w:szCs w:val="24"/>
          <w:shd w:val="clear" w:color="auto" w:fill="FFFFFF"/>
        </w:rPr>
      </w:pPr>
    </w:p>
    <w:p w14:paraId="3D6228CF" w14:textId="45155CFB" w:rsidR="00BC613E" w:rsidRPr="00461C42" w:rsidRDefault="003D01F7" w:rsidP="00461C42">
      <w:pPr>
        <w:shd w:val="clear" w:color="auto" w:fill="FFFFFF"/>
        <w:spacing w:line="240" w:lineRule="auto"/>
        <w:ind w:left="720" w:right="720"/>
        <w:jc w:val="both"/>
        <w:rPr>
          <w:rFonts w:eastAsia="Times New Roman" w:cs="Times New Roman"/>
          <w:szCs w:val="24"/>
          <w:shd w:val="clear" w:color="auto" w:fill="FFFFFF"/>
        </w:rPr>
      </w:pPr>
      <w:r>
        <w:rPr>
          <w:szCs w:val="24"/>
        </w:rPr>
        <w:t>“</w:t>
      </w:r>
      <w:r w:rsidR="00BC613E" w:rsidRPr="00461C42">
        <w:rPr>
          <w:szCs w:val="24"/>
        </w:rPr>
        <w:t xml:space="preserve">In most cases, the District Attorney may lay a </w:t>
      </w:r>
      <w:r w:rsidR="0003434D">
        <w:rPr>
          <w:szCs w:val="24"/>
        </w:rPr>
        <w:t>‘</w:t>
      </w:r>
      <w:r w:rsidR="00BC613E" w:rsidRPr="00461C42">
        <w:rPr>
          <w:szCs w:val="24"/>
        </w:rPr>
        <w:t>proper foundation</w:t>
      </w:r>
      <w:r w:rsidR="0003434D">
        <w:rPr>
          <w:szCs w:val="24"/>
        </w:rPr>
        <w:t>’</w:t>
      </w:r>
      <w:r w:rsidR="00BC613E" w:rsidRPr="00461C42">
        <w:rPr>
          <w:szCs w:val="24"/>
        </w:rPr>
        <w:t xml:space="preserve"> for this type of cross-examination by first demonstrating that the witness was aware of the nature of the charges pending against the defendant, had reason to recognize that he possessed exculpatory </w:t>
      </w:r>
      <w:r w:rsidR="00BC613E" w:rsidRPr="00461C42">
        <w:rPr>
          <w:szCs w:val="24"/>
        </w:rPr>
        <w:lastRenderedPageBreak/>
        <w:t>information, had a reasonable motive for acting to exonerate the defendant and, finally, was familiar with the means to make such information available to law enforcement authorities.</w:t>
      </w:r>
      <w:r>
        <w:rPr>
          <w:szCs w:val="24"/>
        </w:rPr>
        <w:t>”</w:t>
      </w:r>
    </w:p>
    <w:p w14:paraId="79C46CE1" w14:textId="77777777" w:rsidR="00BC613E" w:rsidRPr="00461C42" w:rsidRDefault="00BC613E" w:rsidP="00461C42">
      <w:pPr>
        <w:spacing w:line="240" w:lineRule="auto"/>
        <w:ind w:left="0" w:right="0"/>
        <w:rPr>
          <w:rFonts w:cs="Times New Roman"/>
          <w:szCs w:val="24"/>
        </w:rPr>
      </w:pPr>
    </w:p>
    <w:p w14:paraId="7F91FDAD" w14:textId="060478AD" w:rsidR="00BC613E" w:rsidRPr="00461C42" w:rsidRDefault="003D01F7" w:rsidP="003D01F7">
      <w:pPr>
        <w:tabs>
          <w:tab w:val="left" w:pos="720"/>
        </w:tabs>
        <w:spacing w:line="240" w:lineRule="auto"/>
        <w:ind w:left="0" w:right="0"/>
        <w:jc w:val="both"/>
        <w:rPr>
          <w:rFonts w:cs="Times New Roman"/>
          <w:bCs/>
          <w:szCs w:val="24"/>
        </w:rPr>
      </w:pPr>
      <w:r>
        <w:rPr>
          <w:rFonts w:eastAsia="Times New Roman" w:cs="Times New Roman"/>
          <w:color w:val="000000"/>
          <w:szCs w:val="24"/>
          <w:shd w:val="clear" w:color="auto" w:fill="FFFFFF"/>
        </w:rPr>
        <w:tab/>
      </w:r>
      <w:r w:rsidR="00BC613E" w:rsidRPr="00461C42">
        <w:rPr>
          <w:rFonts w:eastAsia="Times New Roman" w:cs="Times New Roman"/>
          <w:color w:val="000000"/>
          <w:szCs w:val="24"/>
          <w:shd w:val="clear" w:color="auto" w:fill="FFFFFF"/>
        </w:rPr>
        <w:t>Impeachment of an alibi witness may include rebuttal testimony</w:t>
      </w:r>
      <w:r w:rsidR="00780153" w:rsidRPr="00461C42">
        <w:rPr>
          <w:rFonts w:eastAsia="Times New Roman" w:cs="Times New Roman"/>
          <w:color w:val="000000"/>
          <w:szCs w:val="24"/>
          <w:shd w:val="clear" w:color="auto" w:fill="FFFFFF"/>
        </w:rPr>
        <w:t xml:space="preserve"> </w:t>
      </w:r>
      <w:r w:rsidR="00BC613E" w:rsidRPr="00461C42">
        <w:rPr>
          <w:rFonts w:eastAsia="Times New Roman" w:cs="Times New Roman"/>
          <w:color w:val="000000"/>
          <w:szCs w:val="24"/>
          <w:shd w:val="clear" w:color="auto" w:fill="FFFFFF"/>
        </w:rPr>
        <w:t>(</w:t>
      </w:r>
      <w:r w:rsidR="00780153" w:rsidRPr="00461C42">
        <w:rPr>
          <w:rFonts w:eastAsia="Times New Roman" w:cs="Times New Roman"/>
          <w:i/>
          <w:iCs/>
          <w:color w:val="000000"/>
          <w:szCs w:val="24"/>
          <w:shd w:val="clear" w:color="auto" w:fill="FFFFFF"/>
        </w:rPr>
        <w:t>s</w:t>
      </w:r>
      <w:r w:rsidR="00BC613E" w:rsidRPr="00461C42">
        <w:rPr>
          <w:rFonts w:eastAsia="Times New Roman" w:cs="Times New Roman"/>
          <w:i/>
          <w:iCs/>
          <w:color w:val="000000"/>
          <w:szCs w:val="24"/>
          <w:shd w:val="clear" w:color="auto" w:fill="FFFFFF"/>
        </w:rPr>
        <w:t>ee People v Knight</w:t>
      </w:r>
      <w:r w:rsidR="00BC613E" w:rsidRPr="00461C42">
        <w:rPr>
          <w:rFonts w:eastAsia="Times New Roman" w:cs="Times New Roman"/>
          <w:color w:val="000000"/>
          <w:szCs w:val="24"/>
          <w:shd w:val="clear" w:color="auto" w:fill="FFFFFF"/>
        </w:rPr>
        <w:t>, 80 NY2d 845, 848 [1992] [The People properly presented rebuttal evidence “to rebut the alibi witnesses</w:t>
      </w:r>
      <w:r w:rsidR="0003434D">
        <w:rPr>
          <w:rFonts w:eastAsia="Times New Roman" w:cs="Times New Roman"/>
          <w:color w:val="000000"/>
          <w:szCs w:val="24"/>
          <w:shd w:val="clear" w:color="auto" w:fill="FFFFFF"/>
        </w:rPr>
        <w:t>’</w:t>
      </w:r>
      <w:r w:rsidR="00BC613E" w:rsidRPr="00461C42">
        <w:rPr>
          <w:rFonts w:eastAsia="Times New Roman" w:cs="Times New Roman"/>
          <w:color w:val="000000"/>
          <w:szCs w:val="24"/>
          <w:shd w:val="clear" w:color="auto" w:fill="FFFFFF"/>
        </w:rPr>
        <w:t xml:space="preserve"> testimony about their postarrest statements to police by calling the police officer to testify that such statements were never made”]; </w:t>
      </w:r>
      <w:r w:rsidR="00BC613E" w:rsidRPr="00461C42">
        <w:rPr>
          <w:rFonts w:cs="Times New Roman"/>
          <w:bCs/>
          <w:i/>
          <w:iCs/>
          <w:szCs w:val="24"/>
        </w:rPr>
        <w:t>People v Patterson</w:t>
      </w:r>
      <w:r w:rsidR="00BC613E" w:rsidRPr="00461C42">
        <w:rPr>
          <w:rFonts w:cs="Times New Roman"/>
          <w:bCs/>
          <w:szCs w:val="24"/>
        </w:rPr>
        <w:t xml:space="preserve">, 194 AD2d 570, 571 [2d Dept 1993] [“Under </w:t>
      </w:r>
      <w:r w:rsidR="00BC613E" w:rsidRPr="00461C42">
        <w:rPr>
          <w:rFonts w:cs="Times New Roman"/>
          <w:bCs/>
          <w:i/>
          <w:iCs/>
          <w:szCs w:val="24"/>
        </w:rPr>
        <w:t>People v Knight</w:t>
      </w:r>
      <w:r w:rsidR="00BC613E" w:rsidRPr="00461C42">
        <w:rPr>
          <w:rFonts w:cs="Times New Roman"/>
          <w:bCs/>
          <w:szCs w:val="24"/>
        </w:rPr>
        <w:t>, extrinsic evidence is not admissible if offered solely on the issue of the witness’s general credibility but may be admitted to the extent that it bears on the truthfulness of the alibi if it is used to challenge the validity of the alibi, a material issue in the case.  If</w:t>
      </w:r>
      <w:r w:rsidR="00780153" w:rsidRPr="00461C42">
        <w:rPr>
          <w:rFonts w:cs="Times New Roman"/>
          <w:bCs/>
          <w:szCs w:val="24"/>
        </w:rPr>
        <w:t xml:space="preserve"> </w:t>
      </w:r>
      <w:r w:rsidR="00BC613E" w:rsidRPr="00461C42">
        <w:rPr>
          <w:rFonts w:cs="Times New Roman"/>
          <w:bCs/>
          <w:szCs w:val="24"/>
        </w:rPr>
        <w:t>this</w:t>
      </w:r>
      <w:r w:rsidR="00780153" w:rsidRPr="00461C42">
        <w:rPr>
          <w:rFonts w:cs="Times New Roman"/>
          <w:bCs/>
          <w:szCs w:val="24"/>
        </w:rPr>
        <w:t xml:space="preserve"> (threshold) </w:t>
      </w:r>
      <w:r w:rsidR="00BC613E" w:rsidRPr="00461C42">
        <w:rPr>
          <w:rFonts w:cs="Times New Roman"/>
          <w:bCs/>
          <w:szCs w:val="24"/>
        </w:rPr>
        <w:t>is</w:t>
      </w:r>
      <w:r w:rsidR="00780153" w:rsidRPr="00461C42">
        <w:rPr>
          <w:rFonts w:cs="Times New Roman"/>
          <w:bCs/>
          <w:szCs w:val="24"/>
        </w:rPr>
        <w:t xml:space="preserve"> </w:t>
      </w:r>
      <w:r w:rsidR="00BC613E" w:rsidRPr="00461C42">
        <w:rPr>
          <w:rFonts w:cs="Times New Roman"/>
          <w:bCs/>
          <w:szCs w:val="24"/>
        </w:rPr>
        <w:t>met, the fact that the evidence also tends to impeach the witness’ credibility does not render the evidence collateral” (citation and internal quotation marks omitted)])</w:t>
      </w:r>
      <w:r w:rsidR="00780153" w:rsidRPr="00461C42">
        <w:rPr>
          <w:rFonts w:cs="Times New Roman"/>
          <w:bCs/>
          <w:szCs w:val="24"/>
        </w:rPr>
        <w:t>.</w:t>
      </w:r>
    </w:p>
    <w:p w14:paraId="4DC7679E" w14:textId="77777777" w:rsidR="005014F6" w:rsidRPr="00461C42" w:rsidRDefault="005014F6" w:rsidP="003D01F7">
      <w:pPr>
        <w:spacing w:line="240" w:lineRule="auto"/>
        <w:ind w:left="0"/>
        <w:rPr>
          <w:szCs w:val="24"/>
        </w:rPr>
      </w:pPr>
    </w:p>
    <w:sectPr w:rsidR="005014F6" w:rsidRPr="00461C42" w:rsidSect="00461C42">
      <w:footerReference w:type="default" r:id="rId8"/>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26EF" w14:textId="77777777" w:rsidR="00F84189" w:rsidRDefault="00F84189" w:rsidP="00463CE1">
      <w:pPr>
        <w:spacing w:line="240" w:lineRule="auto"/>
      </w:pPr>
      <w:r>
        <w:separator/>
      </w:r>
    </w:p>
  </w:endnote>
  <w:endnote w:type="continuationSeparator" w:id="0">
    <w:p w14:paraId="0AF8D4C7" w14:textId="77777777" w:rsidR="00F84189" w:rsidRDefault="00F84189" w:rsidP="00463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189646"/>
      <w:docPartObj>
        <w:docPartGallery w:val="Page Numbers (Bottom of Page)"/>
        <w:docPartUnique/>
      </w:docPartObj>
    </w:sdtPr>
    <w:sdtEndPr>
      <w:rPr>
        <w:noProof/>
      </w:rPr>
    </w:sdtEndPr>
    <w:sdtContent>
      <w:p w14:paraId="743BB576" w14:textId="6532B9F9" w:rsidR="00463CE1" w:rsidRDefault="00463C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7F13" w14:textId="77777777" w:rsidR="00F84189" w:rsidRDefault="00F84189" w:rsidP="00463CE1">
      <w:pPr>
        <w:spacing w:line="240" w:lineRule="auto"/>
      </w:pPr>
      <w:r>
        <w:separator/>
      </w:r>
    </w:p>
  </w:footnote>
  <w:footnote w:type="continuationSeparator" w:id="0">
    <w:p w14:paraId="5110B82B" w14:textId="77777777" w:rsidR="00F84189" w:rsidRDefault="00F84189" w:rsidP="00463C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33415"/>
    <w:multiLevelType w:val="multilevel"/>
    <w:tmpl w:val="68A61836"/>
    <w:lvl w:ilvl="0">
      <w:start w:val="6"/>
      <w:numFmt w:val="decimal"/>
      <w:lvlText w:val="%1"/>
      <w:lvlJc w:val="left"/>
      <w:pPr>
        <w:ind w:left="525" w:hanging="525"/>
      </w:pPr>
      <w:rPr>
        <w:rFonts w:hint="default"/>
      </w:rPr>
    </w:lvl>
    <w:lvl w:ilvl="1">
      <w:start w:val="2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516055B"/>
    <w:multiLevelType w:val="hybridMultilevel"/>
    <w:tmpl w:val="00D2C1F6"/>
    <w:lvl w:ilvl="0" w:tplc="AE7670C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5036075">
    <w:abstractNumId w:val="1"/>
  </w:num>
  <w:num w:numId="2" w16cid:durableId="198916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3E"/>
    <w:rsid w:val="0003434D"/>
    <w:rsid w:val="000D3CDE"/>
    <w:rsid w:val="00131EF8"/>
    <w:rsid w:val="001A6245"/>
    <w:rsid w:val="003D01F7"/>
    <w:rsid w:val="004154DC"/>
    <w:rsid w:val="00461C42"/>
    <w:rsid w:val="00463CE1"/>
    <w:rsid w:val="005014F6"/>
    <w:rsid w:val="00577C4A"/>
    <w:rsid w:val="00626CC3"/>
    <w:rsid w:val="00646C8F"/>
    <w:rsid w:val="006A5F9A"/>
    <w:rsid w:val="00726FB2"/>
    <w:rsid w:val="00780153"/>
    <w:rsid w:val="008076DD"/>
    <w:rsid w:val="00843AA4"/>
    <w:rsid w:val="00A33C99"/>
    <w:rsid w:val="00BB79C6"/>
    <w:rsid w:val="00BC613E"/>
    <w:rsid w:val="00C128E2"/>
    <w:rsid w:val="00C25890"/>
    <w:rsid w:val="00C70BED"/>
    <w:rsid w:val="00CD0E38"/>
    <w:rsid w:val="00CF2F0D"/>
    <w:rsid w:val="00E06B90"/>
    <w:rsid w:val="00E32DE8"/>
    <w:rsid w:val="00F84189"/>
    <w:rsid w:val="00FB2476"/>
    <w:rsid w:val="00FF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118E"/>
  <w15:chartTrackingRefBased/>
  <w15:docId w15:val="{0918FA9D-76E9-49D6-8921-A2D5E808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13E"/>
    <w:pPr>
      <w:spacing w:line="276" w:lineRule="auto"/>
      <w:ind w:left="1152" w:right="115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13E"/>
    <w:pPr>
      <w:contextualSpacing/>
    </w:pPr>
  </w:style>
  <w:style w:type="character" w:styleId="CommentReference">
    <w:name w:val="annotation reference"/>
    <w:basedOn w:val="DefaultParagraphFont"/>
    <w:uiPriority w:val="99"/>
    <w:semiHidden/>
    <w:unhideWhenUsed/>
    <w:rsid w:val="00FB2476"/>
    <w:rPr>
      <w:sz w:val="16"/>
      <w:szCs w:val="16"/>
    </w:rPr>
  </w:style>
  <w:style w:type="paragraph" w:styleId="CommentText">
    <w:name w:val="annotation text"/>
    <w:basedOn w:val="Normal"/>
    <w:link w:val="CommentTextChar"/>
    <w:uiPriority w:val="99"/>
    <w:semiHidden/>
    <w:unhideWhenUsed/>
    <w:rsid w:val="00FB2476"/>
    <w:pPr>
      <w:spacing w:line="240" w:lineRule="auto"/>
    </w:pPr>
    <w:rPr>
      <w:sz w:val="20"/>
      <w:szCs w:val="20"/>
    </w:rPr>
  </w:style>
  <w:style w:type="character" w:customStyle="1" w:styleId="CommentTextChar">
    <w:name w:val="Comment Text Char"/>
    <w:basedOn w:val="DefaultParagraphFont"/>
    <w:link w:val="CommentText"/>
    <w:uiPriority w:val="99"/>
    <w:semiHidden/>
    <w:rsid w:val="00FB247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2476"/>
    <w:rPr>
      <w:b/>
      <w:bCs/>
    </w:rPr>
  </w:style>
  <w:style w:type="character" w:customStyle="1" w:styleId="CommentSubjectChar">
    <w:name w:val="Comment Subject Char"/>
    <w:basedOn w:val="CommentTextChar"/>
    <w:link w:val="CommentSubject"/>
    <w:uiPriority w:val="99"/>
    <w:semiHidden/>
    <w:rsid w:val="00FB2476"/>
    <w:rPr>
      <w:rFonts w:ascii="Times New Roman" w:hAnsi="Times New Roman"/>
      <w:b/>
      <w:bCs/>
      <w:sz w:val="20"/>
      <w:szCs w:val="20"/>
    </w:rPr>
  </w:style>
  <w:style w:type="paragraph" w:styleId="BalloonText">
    <w:name w:val="Balloon Text"/>
    <w:basedOn w:val="Normal"/>
    <w:link w:val="BalloonTextChar"/>
    <w:uiPriority w:val="99"/>
    <w:semiHidden/>
    <w:unhideWhenUsed/>
    <w:rsid w:val="00FB2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476"/>
    <w:rPr>
      <w:rFonts w:ascii="Segoe UI" w:hAnsi="Segoe UI" w:cs="Segoe UI"/>
      <w:sz w:val="18"/>
      <w:szCs w:val="18"/>
    </w:rPr>
  </w:style>
  <w:style w:type="paragraph" w:styleId="Header">
    <w:name w:val="header"/>
    <w:basedOn w:val="Normal"/>
    <w:link w:val="HeaderChar"/>
    <w:uiPriority w:val="99"/>
    <w:unhideWhenUsed/>
    <w:rsid w:val="00463CE1"/>
    <w:pPr>
      <w:tabs>
        <w:tab w:val="center" w:pos="4680"/>
        <w:tab w:val="right" w:pos="9360"/>
      </w:tabs>
      <w:spacing w:line="240" w:lineRule="auto"/>
    </w:pPr>
  </w:style>
  <w:style w:type="character" w:customStyle="1" w:styleId="HeaderChar">
    <w:name w:val="Header Char"/>
    <w:basedOn w:val="DefaultParagraphFont"/>
    <w:link w:val="Header"/>
    <w:uiPriority w:val="99"/>
    <w:rsid w:val="00463CE1"/>
    <w:rPr>
      <w:rFonts w:ascii="Times New Roman" w:hAnsi="Times New Roman"/>
      <w:sz w:val="24"/>
    </w:rPr>
  </w:style>
  <w:style w:type="paragraph" w:styleId="Footer">
    <w:name w:val="footer"/>
    <w:basedOn w:val="Normal"/>
    <w:link w:val="FooterChar"/>
    <w:uiPriority w:val="99"/>
    <w:unhideWhenUsed/>
    <w:rsid w:val="00463CE1"/>
    <w:pPr>
      <w:tabs>
        <w:tab w:val="center" w:pos="4680"/>
        <w:tab w:val="right" w:pos="9360"/>
      </w:tabs>
      <w:spacing w:line="240" w:lineRule="auto"/>
    </w:pPr>
  </w:style>
  <w:style w:type="character" w:customStyle="1" w:styleId="FooterChar">
    <w:name w:val="Footer Char"/>
    <w:basedOn w:val="DefaultParagraphFont"/>
    <w:link w:val="Footer"/>
    <w:uiPriority w:val="99"/>
    <w:rsid w:val="00463CE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FA68-7FA1-42A7-A4B3-5235EBF2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William Donnino</dc:creator>
  <cp:keywords/>
  <dc:description/>
  <cp:lastModifiedBy>Hon. William Donnino</cp:lastModifiedBy>
  <cp:revision>13</cp:revision>
  <dcterms:created xsi:type="dcterms:W3CDTF">2021-05-04T16:09:00Z</dcterms:created>
  <dcterms:modified xsi:type="dcterms:W3CDTF">2025-10-10T17:21:00Z</dcterms:modified>
</cp:coreProperties>
</file>