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B6C3E" w14:textId="54D2AF9B" w:rsidR="000672DE" w:rsidRPr="00411DFA" w:rsidRDefault="000672DE" w:rsidP="00411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b/>
          <w:bCs/>
          <w:sz w:val="28"/>
          <w:szCs w:val="28"/>
        </w:rPr>
      </w:pPr>
      <w:r w:rsidRPr="00411DFA">
        <w:rPr>
          <w:sz w:val="28"/>
          <w:szCs w:val="28"/>
          <w:lang w:val="en-CA"/>
        </w:rPr>
        <w:fldChar w:fldCharType="begin"/>
      </w:r>
      <w:r w:rsidRPr="00411DFA">
        <w:rPr>
          <w:sz w:val="28"/>
          <w:szCs w:val="28"/>
          <w:lang w:val="en-CA"/>
        </w:rPr>
        <w:instrText xml:space="preserve"> SEQ CHAPTER \h \r 1</w:instrText>
      </w:r>
      <w:r w:rsidRPr="00411DFA">
        <w:rPr>
          <w:sz w:val="28"/>
          <w:szCs w:val="28"/>
          <w:lang w:val="en-CA"/>
        </w:rPr>
        <w:fldChar w:fldCharType="end"/>
      </w:r>
      <w:r w:rsidRPr="00411DFA">
        <w:rPr>
          <w:b/>
          <w:bCs/>
          <w:sz w:val="28"/>
          <w:szCs w:val="28"/>
        </w:rPr>
        <w:t>8.</w:t>
      </w:r>
      <w:r w:rsidR="00C2347E" w:rsidRPr="00411DFA">
        <w:rPr>
          <w:b/>
          <w:bCs/>
          <w:sz w:val="28"/>
          <w:szCs w:val="28"/>
        </w:rPr>
        <w:t>19</w:t>
      </w:r>
      <w:r w:rsidRPr="00411DFA">
        <w:rPr>
          <w:b/>
          <w:bCs/>
          <w:sz w:val="28"/>
          <w:szCs w:val="28"/>
        </w:rPr>
        <w:t xml:space="preserve"> </w:t>
      </w:r>
      <w:r w:rsidR="00971070" w:rsidRPr="00411DFA">
        <w:rPr>
          <w:b/>
          <w:bCs/>
          <w:sz w:val="28"/>
          <w:szCs w:val="28"/>
        </w:rPr>
        <w:t xml:space="preserve">Forfeiture </w:t>
      </w:r>
      <w:r w:rsidR="00A101D8" w:rsidRPr="00411DFA">
        <w:rPr>
          <w:b/>
          <w:bCs/>
          <w:sz w:val="28"/>
          <w:szCs w:val="28"/>
        </w:rPr>
        <w:t>o</w:t>
      </w:r>
      <w:r w:rsidR="00514868" w:rsidRPr="00411DFA">
        <w:rPr>
          <w:b/>
          <w:bCs/>
          <w:sz w:val="28"/>
          <w:szCs w:val="28"/>
        </w:rPr>
        <w:t xml:space="preserve">f Hearsay Objection </w:t>
      </w:r>
      <w:r w:rsidR="00A101D8" w:rsidRPr="00411DFA">
        <w:rPr>
          <w:b/>
          <w:bCs/>
          <w:sz w:val="28"/>
          <w:szCs w:val="28"/>
        </w:rPr>
        <w:t>b</w:t>
      </w:r>
      <w:r w:rsidR="00971070" w:rsidRPr="00411DFA">
        <w:rPr>
          <w:b/>
          <w:bCs/>
          <w:sz w:val="28"/>
          <w:szCs w:val="28"/>
        </w:rPr>
        <w:t>y Wrongdoing</w:t>
      </w:r>
    </w:p>
    <w:p w14:paraId="6E54393F" w14:textId="77777777" w:rsidR="000672DE" w:rsidRPr="00411DFA" w:rsidRDefault="000672DE" w:rsidP="00411DFA">
      <w:pPr>
        <w:pStyle w:val="ListParagra"/>
        <w:tabs>
          <w:tab w:val="left" w:pos="720"/>
          <w:tab w:val="left" w:pos="1440"/>
          <w:tab w:val="left" w:pos="2160"/>
          <w:tab w:val="left" w:pos="2880"/>
          <w:tab w:val="left" w:pos="3600"/>
          <w:tab w:val="left" w:pos="4320"/>
          <w:tab w:val="left" w:pos="5040"/>
          <w:tab w:val="left" w:pos="5760"/>
          <w:tab w:val="left" w:pos="6480"/>
          <w:tab w:val="left" w:pos="7200"/>
          <w:tab w:val="left" w:pos="7918"/>
        </w:tabs>
        <w:ind w:left="0"/>
        <w:rPr>
          <w:b/>
          <w:bCs/>
          <w:sz w:val="28"/>
          <w:szCs w:val="28"/>
        </w:rPr>
      </w:pPr>
    </w:p>
    <w:p w14:paraId="302524F7" w14:textId="6A7AEC9E" w:rsidR="000672DE" w:rsidRPr="00411DFA" w:rsidRDefault="000672DE" w:rsidP="00411DFA">
      <w:pPr>
        <w:pStyle w:val="ListParagra"/>
        <w:tabs>
          <w:tab w:val="left" w:pos="720"/>
          <w:tab w:val="left" w:pos="1440"/>
          <w:tab w:val="left" w:pos="2160"/>
          <w:tab w:val="left" w:pos="2880"/>
          <w:tab w:val="left" w:pos="3600"/>
          <w:tab w:val="left" w:pos="4320"/>
          <w:tab w:val="left" w:pos="5040"/>
          <w:tab w:val="left" w:pos="5760"/>
          <w:tab w:val="left" w:pos="6480"/>
          <w:tab w:val="left" w:pos="7198"/>
        </w:tabs>
        <w:ind w:right="720"/>
        <w:rPr>
          <w:b/>
          <w:bCs/>
          <w:sz w:val="28"/>
          <w:szCs w:val="28"/>
        </w:rPr>
      </w:pPr>
      <w:r w:rsidRPr="00411DFA">
        <w:rPr>
          <w:b/>
          <w:bCs/>
          <w:sz w:val="28"/>
          <w:szCs w:val="28"/>
        </w:rPr>
        <w:t>Where a witness in a proceeding is unwilling to testify or testify to</w:t>
      </w:r>
      <w:r w:rsidR="00522D00" w:rsidRPr="00411DFA">
        <w:rPr>
          <w:b/>
          <w:bCs/>
          <w:sz w:val="28"/>
          <w:szCs w:val="28"/>
        </w:rPr>
        <w:t xml:space="preserve"> the full extent of the witness’</w:t>
      </w:r>
      <w:r w:rsidRPr="00411DFA">
        <w:rPr>
          <w:b/>
          <w:bCs/>
          <w:sz w:val="28"/>
          <w:szCs w:val="28"/>
        </w:rPr>
        <w:t>s knowledge, a party forfeits the right to preclude that witness</w:t>
      </w:r>
      <w:r w:rsidR="00522D00" w:rsidRPr="00411DFA">
        <w:rPr>
          <w:b/>
          <w:bCs/>
          <w:sz w:val="28"/>
          <w:szCs w:val="28"/>
        </w:rPr>
        <w:t>’</w:t>
      </w:r>
      <w:r w:rsidRPr="00411DFA">
        <w:rPr>
          <w:b/>
          <w:bCs/>
          <w:sz w:val="28"/>
          <w:szCs w:val="28"/>
        </w:rPr>
        <w:t>s prior out of court statement(s) as hearsay or on the ground that the party will be denied the right to confront the witness, if the party offering the statement proves by clear and convincing evidence that: (a) the opposing party, personally or with the aid of others, engaged or acquiesced in misconduct aimed at least in part at preventing the witness from testifying, and (b) such misdeeds were a significant cause of the witness</w:t>
      </w:r>
      <w:r w:rsidR="00522D00" w:rsidRPr="00411DFA">
        <w:rPr>
          <w:b/>
          <w:bCs/>
          <w:sz w:val="28"/>
          <w:szCs w:val="28"/>
        </w:rPr>
        <w:t>’</w:t>
      </w:r>
      <w:r w:rsidRPr="00411DFA">
        <w:rPr>
          <w:b/>
          <w:bCs/>
          <w:sz w:val="28"/>
          <w:szCs w:val="28"/>
        </w:rPr>
        <w:t>s decision not to testify or testify fully.</w:t>
      </w:r>
    </w:p>
    <w:p w14:paraId="1C07F3F8" w14:textId="77777777" w:rsidR="00522D00" w:rsidRPr="00411DFA" w:rsidRDefault="00522D00" w:rsidP="00411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b/>
          <w:bCs/>
          <w:sz w:val="24"/>
          <w:szCs w:val="24"/>
        </w:rPr>
      </w:pPr>
    </w:p>
    <w:p w14:paraId="78273B92" w14:textId="77777777" w:rsidR="000672DE" w:rsidRPr="00411DFA" w:rsidRDefault="000672DE" w:rsidP="00411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center"/>
        <w:rPr>
          <w:b/>
          <w:bCs/>
          <w:sz w:val="24"/>
          <w:szCs w:val="24"/>
        </w:rPr>
      </w:pPr>
      <w:r w:rsidRPr="00411DFA">
        <w:rPr>
          <w:b/>
          <w:bCs/>
          <w:sz w:val="24"/>
          <w:szCs w:val="24"/>
        </w:rPr>
        <w:t>Note</w:t>
      </w:r>
    </w:p>
    <w:p w14:paraId="14253F03" w14:textId="77777777" w:rsidR="000672DE" w:rsidRPr="00411DFA" w:rsidRDefault="000672DE" w:rsidP="00411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b/>
          <w:bCs/>
          <w:sz w:val="24"/>
          <w:szCs w:val="24"/>
        </w:rPr>
      </w:pPr>
    </w:p>
    <w:p w14:paraId="73EF0A03" w14:textId="77777777" w:rsidR="000672DE" w:rsidRPr="00411DFA" w:rsidRDefault="00522D00" w:rsidP="00411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r w:rsidRPr="00411DFA">
        <w:rPr>
          <w:sz w:val="24"/>
          <w:szCs w:val="24"/>
        </w:rPr>
        <w:tab/>
      </w:r>
      <w:r w:rsidR="000672DE" w:rsidRPr="00411DFA">
        <w:rPr>
          <w:sz w:val="24"/>
          <w:szCs w:val="24"/>
        </w:rPr>
        <w:t xml:space="preserve">This </w:t>
      </w:r>
      <w:r w:rsidR="00D32B63" w:rsidRPr="00411DFA">
        <w:rPr>
          <w:sz w:val="24"/>
          <w:szCs w:val="24"/>
        </w:rPr>
        <w:t>r</w:t>
      </w:r>
      <w:r w:rsidR="000672DE" w:rsidRPr="00411DFA">
        <w:rPr>
          <w:sz w:val="24"/>
          <w:szCs w:val="24"/>
        </w:rPr>
        <w:t xml:space="preserve">ule is derived from the Court of Appeals recent decisions in </w:t>
      </w:r>
      <w:r w:rsidR="000672DE" w:rsidRPr="00411DFA">
        <w:rPr>
          <w:i/>
          <w:iCs/>
          <w:sz w:val="24"/>
          <w:szCs w:val="24"/>
        </w:rPr>
        <w:t xml:space="preserve">People v Dubarry </w:t>
      </w:r>
      <w:r w:rsidR="000672DE" w:rsidRPr="00411DFA">
        <w:rPr>
          <w:sz w:val="24"/>
          <w:szCs w:val="24"/>
        </w:rPr>
        <w:t xml:space="preserve">(25 NY3d 161, 174-175 [2015]) and </w:t>
      </w:r>
      <w:r w:rsidR="000672DE" w:rsidRPr="00411DFA">
        <w:rPr>
          <w:i/>
          <w:iCs/>
          <w:sz w:val="24"/>
          <w:szCs w:val="24"/>
        </w:rPr>
        <w:t xml:space="preserve">People v Smart </w:t>
      </w:r>
      <w:r w:rsidR="000672DE" w:rsidRPr="00411DFA">
        <w:rPr>
          <w:sz w:val="24"/>
          <w:szCs w:val="24"/>
        </w:rPr>
        <w:t>(23 NY3d 213, 219-220 [2014]), which in turn were derived from several prior decisions of the court.</w:t>
      </w:r>
    </w:p>
    <w:p w14:paraId="34601093" w14:textId="77777777" w:rsidR="000672DE" w:rsidRPr="00411DFA" w:rsidRDefault="000672DE" w:rsidP="00411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p>
    <w:p w14:paraId="64689810" w14:textId="46DD40A6" w:rsidR="000672DE" w:rsidRPr="00411DFA" w:rsidRDefault="00522D00" w:rsidP="00411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r w:rsidRPr="00411DFA">
        <w:rPr>
          <w:sz w:val="24"/>
          <w:szCs w:val="24"/>
        </w:rPr>
        <w:tab/>
      </w:r>
      <w:r w:rsidR="000672DE" w:rsidRPr="00411DFA">
        <w:rPr>
          <w:sz w:val="24"/>
          <w:szCs w:val="24"/>
        </w:rPr>
        <w:t xml:space="preserve">In </w:t>
      </w:r>
      <w:r w:rsidR="000672DE" w:rsidRPr="00411DFA">
        <w:rPr>
          <w:i/>
          <w:iCs/>
          <w:sz w:val="24"/>
          <w:szCs w:val="24"/>
        </w:rPr>
        <w:t xml:space="preserve">People v Geraci </w:t>
      </w:r>
      <w:r w:rsidR="000672DE" w:rsidRPr="00411DFA">
        <w:rPr>
          <w:sz w:val="24"/>
          <w:szCs w:val="24"/>
        </w:rPr>
        <w:t xml:space="preserve">(85 NY2d 359 [1995]), the </w:t>
      </w:r>
      <w:r w:rsidR="007A7D69" w:rsidRPr="00411DFA">
        <w:rPr>
          <w:sz w:val="24"/>
          <w:szCs w:val="24"/>
        </w:rPr>
        <w:t>C</w:t>
      </w:r>
      <w:r w:rsidR="000672DE" w:rsidRPr="00411DFA">
        <w:rPr>
          <w:sz w:val="24"/>
          <w:szCs w:val="24"/>
        </w:rPr>
        <w:t>ourt held that forfeiture requ</w:t>
      </w:r>
      <w:r w:rsidRPr="00411DFA">
        <w:rPr>
          <w:sz w:val="24"/>
          <w:szCs w:val="24"/>
        </w:rPr>
        <w:t>ires a showing that the witness’</w:t>
      </w:r>
      <w:r w:rsidR="000672DE" w:rsidRPr="00411DFA">
        <w:rPr>
          <w:sz w:val="24"/>
          <w:szCs w:val="24"/>
        </w:rPr>
        <w:t>s unavailability was procured by misconduct and noted such a showing had traditionally required that the defendant procured the witness</w:t>
      </w:r>
      <w:r w:rsidRPr="00411DFA">
        <w:rPr>
          <w:sz w:val="24"/>
          <w:szCs w:val="24"/>
        </w:rPr>
        <w:t>’s unavailability through “</w:t>
      </w:r>
      <w:r w:rsidR="000672DE" w:rsidRPr="00411DFA">
        <w:rPr>
          <w:sz w:val="24"/>
          <w:szCs w:val="24"/>
        </w:rPr>
        <w:t>violence, threats or chicanery.</w:t>
      </w:r>
      <w:r w:rsidRPr="00411DFA">
        <w:rPr>
          <w:sz w:val="24"/>
          <w:szCs w:val="24"/>
        </w:rPr>
        <w:t>”</w:t>
      </w:r>
      <w:r w:rsidR="000672DE" w:rsidRPr="00411DFA">
        <w:rPr>
          <w:sz w:val="24"/>
          <w:szCs w:val="24"/>
        </w:rPr>
        <w:t xml:space="preserve"> (</w:t>
      </w:r>
      <w:r w:rsidR="000672DE" w:rsidRPr="00411DFA">
        <w:rPr>
          <w:i/>
          <w:iCs/>
          <w:sz w:val="24"/>
          <w:szCs w:val="24"/>
        </w:rPr>
        <w:t>Id.</w:t>
      </w:r>
      <w:r w:rsidR="000672DE" w:rsidRPr="00411DFA">
        <w:rPr>
          <w:sz w:val="24"/>
          <w:szCs w:val="24"/>
        </w:rPr>
        <w:t xml:space="preserve"> at 365-366.) In </w:t>
      </w:r>
      <w:r w:rsidR="000672DE" w:rsidRPr="00411DFA">
        <w:rPr>
          <w:i/>
          <w:iCs/>
          <w:sz w:val="24"/>
          <w:szCs w:val="24"/>
        </w:rPr>
        <w:t xml:space="preserve">Dubarry </w:t>
      </w:r>
      <w:r w:rsidR="000672DE" w:rsidRPr="00411DFA">
        <w:rPr>
          <w:sz w:val="24"/>
          <w:szCs w:val="24"/>
        </w:rPr>
        <w:t xml:space="preserve">and </w:t>
      </w:r>
      <w:r w:rsidR="000672DE" w:rsidRPr="00411DFA">
        <w:rPr>
          <w:i/>
          <w:iCs/>
          <w:sz w:val="24"/>
          <w:szCs w:val="24"/>
        </w:rPr>
        <w:t>Smart</w:t>
      </w:r>
      <w:r w:rsidR="000672DE" w:rsidRPr="00411DFA">
        <w:rPr>
          <w:sz w:val="24"/>
          <w:szCs w:val="24"/>
        </w:rPr>
        <w:t xml:space="preserve">, the </w:t>
      </w:r>
      <w:r w:rsidR="00215A0C" w:rsidRPr="00411DFA">
        <w:rPr>
          <w:sz w:val="24"/>
          <w:szCs w:val="24"/>
        </w:rPr>
        <w:t>C</w:t>
      </w:r>
      <w:r w:rsidR="000672DE" w:rsidRPr="00411DFA">
        <w:rPr>
          <w:sz w:val="24"/>
          <w:szCs w:val="24"/>
        </w:rPr>
        <w:t>ourt stated the rule as requiring</w:t>
      </w:r>
      <w:r w:rsidRPr="00411DFA">
        <w:rPr>
          <w:sz w:val="24"/>
          <w:szCs w:val="24"/>
        </w:rPr>
        <w:t xml:space="preserve"> that the defendant engaged in “</w:t>
      </w:r>
      <w:r w:rsidR="000672DE" w:rsidRPr="00411DFA">
        <w:rPr>
          <w:sz w:val="24"/>
          <w:szCs w:val="24"/>
        </w:rPr>
        <w:t>misconduct</w:t>
      </w:r>
      <w:r w:rsidRPr="00411DFA">
        <w:rPr>
          <w:sz w:val="24"/>
          <w:szCs w:val="24"/>
        </w:rPr>
        <w:t>” or “</w:t>
      </w:r>
      <w:r w:rsidR="000672DE" w:rsidRPr="00411DFA">
        <w:rPr>
          <w:sz w:val="24"/>
          <w:szCs w:val="24"/>
        </w:rPr>
        <w:t>misdeeds</w:t>
      </w:r>
      <w:r w:rsidRPr="00411DFA">
        <w:rPr>
          <w:sz w:val="24"/>
          <w:szCs w:val="24"/>
        </w:rPr>
        <w:t>”</w:t>
      </w:r>
      <w:r w:rsidR="000672DE" w:rsidRPr="00411DFA">
        <w:rPr>
          <w:sz w:val="24"/>
          <w:szCs w:val="24"/>
        </w:rPr>
        <w:t xml:space="preserve"> aimed at least in part at preventing the witness fro</w:t>
      </w:r>
      <w:r w:rsidRPr="00411DFA">
        <w:rPr>
          <w:sz w:val="24"/>
          <w:szCs w:val="24"/>
        </w:rPr>
        <w:t>m testifying and that defendant’</w:t>
      </w:r>
      <w:r w:rsidR="000672DE" w:rsidRPr="00411DFA">
        <w:rPr>
          <w:sz w:val="24"/>
          <w:szCs w:val="24"/>
        </w:rPr>
        <w:t>s misconduct was a significant cause of the witness</w:t>
      </w:r>
      <w:r w:rsidRPr="00411DFA">
        <w:rPr>
          <w:sz w:val="24"/>
          <w:szCs w:val="24"/>
        </w:rPr>
        <w:t>’</w:t>
      </w:r>
      <w:r w:rsidR="000672DE" w:rsidRPr="00411DFA">
        <w:rPr>
          <w:sz w:val="24"/>
          <w:szCs w:val="24"/>
        </w:rPr>
        <w:t>s decision not to testify. (</w:t>
      </w:r>
      <w:r w:rsidR="000672DE" w:rsidRPr="00411DFA">
        <w:rPr>
          <w:i/>
          <w:iCs/>
          <w:sz w:val="24"/>
          <w:szCs w:val="24"/>
        </w:rPr>
        <w:t>People v Dubarry</w:t>
      </w:r>
      <w:r w:rsidR="000672DE" w:rsidRPr="00411DFA">
        <w:rPr>
          <w:sz w:val="24"/>
          <w:szCs w:val="24"/>
        </w:rPr>
        <w:t>, 25 NY3d at 176, quoting</w:t>
      </w:r>
      <w:r w:rsidR="000672DE" w:rsidRPr="00411DFA">
        <w:rPr>
          <w:i/>
          <w:iCs/>
          <w:sz w:val="24"/>
          <w:szCs w:val="24"/>
        </w:rPr>
        <w:t xml:space="preserve"> People v Smart</w:t>
      </w:r>
      <w:r w:rsidR="000672DE" w:rsidRPr="00411DFA">
        <w:rPr>
          <w:sz w:val="24"/>
          <w:szCs w:val="24"/>
        </w:rPr>
        <w:t>,</w:t>
      </w:r>
      <w:r w:rsidR="000672DE" w:rsidRPr="00411DFA">
        <w:rPr>
          <w:i/>
          <w:iCs/>
          <w:sz w:val="24"/>
          <w:szCs w:val="24"/>
        </w:rPr>
        <w:t xml:space="preserve"> </w:t>
      </w:r>
      <w:r w:rsidR="000672DE" w:rsidRPr="00411DFA">
        <w:rPr>
          <w:sz w:val="24"/>
          <w:szCs w:val="24"/>
        </w:rPr>
        <w:t>23 NY3d at 220.) These recent holdings introduced more precise evidentiary standards to the procured by misconduct rule. This language, read literally, als</w:t>
      </w:r>
      <w:r w:rsidRPr="00411DFA">
        <w:rPr>
          <w:sz w:val="24"/>
          <w:szCs w:val="24"/>
        </w:rPr>
        <w:t>o includes misdeeds other than “</w:t>
      </w:r>
      <w:r w:rsidR="000672DE" w:rsidRPr="00411DFA">
        <w:rPr>
          <w:sz w:val="24"/>
          <w:szCs w:val="24"/>
        </w:rPr>
        <w:t>violence, threats or chicanery.</w:t>
      </w:r>
      <w:r w:rsidRPr="00411DFA">
        <w:rPr>
          <w:sz w:val="24"/>
          <w:szCs w:val="24"/>
        </w:rPr>
        <w:t>”</w:t>
      </w:r>
      <w:r w:rsidR="000672DE" w:rsidRPr="00411DFA">
        <w:rPr>
          <w:sz w:val="24"/>
          <w:szCs w:val="24"/>
        </w:rPr>
        <w:t xml:space="preserve"> The Court of Appeals, however, has never indicated that misconduct beyond these three kinds of behaviors would qualify for forfeiture. (</w:t>
      </w:r>
      <w:r w:rsidR="000672DE" w:rsidRPr="00411DFA">
        <w:rPr>
          <w:i/>
          <w:iCs/>
          <w:sz w:val="24"/>
          <w:szCs w:val="24"/>
        </w:rPr>
        <w:t>See also People v Cotto</w:t>
      </w:r>
      <w:r w:rsidR="000672DE" w:rsidRPr="00411DFA">
        <w:rPr>
          <w:sz w:val="24"/>
          <w:szCs w:val="24"/>
        </w:rPr>
        <w:t>,</w:t>
      </w:r>
      <w:r w:rsidR="000672DE" w:rsidRPr="00411DFA">
        <w:rPr>
          <w:i/>
          <w:iCs/>
          <w:sz w:val="24"/>
          <w:szCs w:val="24"/>
        </w:rPr>
        <w:t xml:space="preserve"> </w:t>
      </w:r>
      <w:r w:rsidR="000672DE" w:rsidRPr="00411DFA">
        <w:rPr>
          <w:sz w:val="24"/>
          <w:szCs w:val="24"/>
        </w:rPr>
        <w:t xml:space="preserve">92 NY2d 68 [1998]; </w:t>
      </w:r>
      <w:r w:rsidR="000672DE" w:rsidRPr="00411DFA">
        <w:rPr>
          <w:i/>
          <w:iCs/>
          <w:sz w:val="24"/>
          <w:szCs w:val="24"/>
        </w:rPr>
        <w:t>People v Johnson</w:t>
      </w:r>
      <w:r w:rsidR="000672DE" w:rsidRPr="00411DFA">
        <w:rPr>
          <w:sz w:val="24"/>
          <w:szCs w:val="24"/>
        </w:rPr>
        <w:t>,</w:t>
      </w:r>
      <w:r w:rsidR="000672DE" w:rsidRPr="00411DFA">
        <w:rPr>
          <w:i/>
          <w:iCs/>
          <w:sz w:val="24"/>
          <w:szCs w:val="24"/>
        </w:rPr>
        <w:t xml:space="preserve"> </w:t>
      </w:r>
      <w:r w:rsidR="000672DE" w:rsidRPr="00411DFA">
        <w:rPr>
          <w:sz w:val="24"/>
          <w:szCs w:val="24"/>
        </w:rPr>
        <w:t xml:space="preserve">93 NY2d 254 [1999]; </w:t>
      </w:r>
      <w:r w:rsidR="000672DE" w:rsidRPr="00411DFA">
        <w:rPr>
          <w:i/>
          <w:iCs/>
          <w:sz w:val="24"/>
          <w:szCs w:val="24"/>
        </w:rPr>
        <w:t>People v Maher</w:t>
      </w:r>
      <w:r w:rsidR="000672DE" w:rsidRPr="00411DFA">
        <w:rPr>
          <w:sz w:val="24"/>
          <w:szCs w:val="24"/>
        </w:rPr>
        <w:t>,</w:t>
      </w:r>
      <w:r w:rsidR="000672DE" w:rsidRPr="00411DFA">
        <w:rPr>
          <w:i/>
          <w:iCs/>
          <w:sz w:val="24"/>
          <w:szCs w:val="24"/>
        </w:rPr>
        <w:t xml:space="preserve"> </w:t>
      </w:r>
      <w:r w:rsidR="000672DE" w:rsidRPr="00411DFA">
        <w:rPr>
          <w:sz w:val="24"/>
          <w:szCs w:val="24"/>
        </w:rPr>
        <w:t>89 NY2d 456, 461-463 [1997].)</w:t>
      </w:r>
    </w:p>
    <w:p w14:paraId="1B9E94A7" w14:textId="77777777" w:rsidR="000672DE" w:rsidRPr="00411DFA" w:rsidRDefault="000672DE" w:rsidP="00411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p>
    <w:p w14:paraId="2DB9814B" w14:textId="11333860" w:rsidR="000672DE" w:rsidRPr="00411DFA" w:rsidRDefault="00522D00" w:rsidP="00411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r w:rsidRPr="00411DFA">
        <w:rPr>
          <w:sz w:val="24"/>
          <w:szCs w:val="24"/>
        </w:rPr>
        <w:tab/>
      </w:r>
      <w:r w:rsidR="000672DE" w:rsidRPr="00411DFA">
        <w:rPr>
          <w:sz w:val="24"/>
          <w:szCs w:val="24"/>
        </w:rPr>
        <w:t>The forf</w:t>
      </w:r>
      <w:r w:rsidRPr="00411DFA">
        <w:rPr>
          <w:sz w:val="24"/>
          <w:szCs w:val="24"/>
        </w:rPr>
        <w:t>eiture of confrontation rights “ ‘</w:t>
      </w:r>
      <w:r w:rsidR="000672DE" w:rsidRPr="00411DFA">
        <w:rPr>
          <w:sz w:val="24"/>
          <w:szCs w:val="24"/>
        </w:rPr>
        <w:t>constitutes a substantial deprivation</w:t>
      </w:r>
      <w:r w:rsidRPr="00411DFA">
        <w:rPr>
          <w:sz w:val="24"/>
          <w:szCs w:val="24"/>
        </w:rPr>
        <w:t>’ ”</w:t>
      </w:r>
      <w:r w:rsidR="000672DE" w:rsidRPr="00411DFA">
        <w:rPr>
          <w:sz w:val="24"/>
          <w:szCs w:val="24"/>
        </w:rPr>
        <w:t xml:space="preserve"> (</w:t>
      </w:r>
      <w:r w:rsidR="000672DE" w:rsidRPr="00411DFA">
        <w:rPr>
          <w:i/>
          <w:iCs/>
          <w:sz w:val="24"/>
          <w:szCs w:val="24"/>
        </w:rPr>
        <w:t>People v Johnson</w:t>
      </w:r>
      <w:r w:rsidR="000672DE" w:rsidRPr="00411DFA">
        <w:rPr>
          <w:sz w:val="24"/>
          <w:szCs w:val="24"/>
        </w:rPr>
        <w:t>,</w:t>
      </w:r>
      <w:r w:rsidR="000672DE" w:rsidRPr="00411DFA">
        <w:rPr>
          <w:i/>
          <w:iCs/>
          <w:sz w:val="24"/>
          <w:szCs w:val="24"/>
        </w:rPr>
        <w:t xml:space="preserve"> </w:t>
      </w:r>
      <w:r w:rsidR="000672DE" w:rsidRPr="00411DFA">
        <w:rPr>
          <w:sz w:val="24"/>
          <w:szCs w:val="24"/>
        </w:rPr>
        <w:t xml:space="preserve">93 NY2d at 258, quoting </w:t>
      </w:r>
      <w:r w:rsidR="000672DE" w:rsidRPr="00411DFA">
        <w:rPr>
          <w:i/>
          <w:iCs/>
          <w:sz w:val="24"/>
          <w:szCs w:val="24"/>
        </w:rPr>
        <w:t>People v Geraci</w:t>
      </w:r>
      <w:r w:rsidR="000672DE" w:rsidRPr="00411DFA">
        <w:rPr>
          <w:sz w:val="24"/>
          <w:szCs w:val="24"/>
        </w:rPr>
        <w:t xml:space="preserve">, 85 </w:t>
      </w:r>
      <w:r w:rsidR="000672DE" w:rsidRPr="00411DFA">
        <w:rPr>
          <w:sz w:val="24"/>
          <w:szCs w:val="24"/>
        </w:rPr>
        <w:lastRenderedPageBreak/>
        <w:t>NY2d at 367), and the clear and convincing</w:t>
      </w:r>
      <w:r w:rsidRPr="00411DFA">
        <w:rPr>
          <w:sz w:val="24"/>
          <w:szCs w:val="24"/>
        </w:rPr>
        <w:t xml:space="preserve"> evidence requirement places a “</w:t>
      </w:r>
      <w:r w:rsidR="000672DE" w:rsidRPr="00411DFA">
        <w:rPr>
          <w:sz w:val="24"/>
          <w:szCs w:val="24"/>
        </w:rPr>
        <w:t>heavy burden</w:t>
      </w:r>
      <w:r w:rsidRPr="00411DFA">
        <w:rPr>
          <w:sz w:val="24"/>
          <w:szCs w:val="24"/>
        </w:rPr>
        <w:t>”</w:t>
      </w:r>
      <w:r w:rsidR="000672DE" w:rsidRPr="00411DFA">
        <w:rPr>
          <w:sz w:val="24"/>
          <w:szCs w:val="24"/>
        </w:rPr>
        <w:t xml:space="preserve"> on the</w:t>
      </w:r>
      <w:r w:rsidRPr="00411DFA">
        <w:rPr>
          <w:sz w:val="24"/>
          <w:szCs w:val="24"/>
        </w:rPr>
        <w:t xml:space="preserve"> statement’</w:t>
      </w:r>
      <w:r w:rsidR="000672DE" w:rsidRPr="00411DFA">
        <w:rPr>
          <w:sz w:val="24"/>
          <w:szCs w:val="24"/>
        </w:rPr>
        <w:t>s proponent (</w:t>
      </w:r>
      <w:r w:rsidR="000672DE" w:rsidRPr="00411DFA">
        <w:rPr>
          <w:i/>
          <w:iCs/>
          <w:sz w:val="24"/>
          <w:szCs w:val="24"/>
        </w:rPr>
        <w:t>People v Cotto</w:t>
      </w:r>
      <w:r w:rsidR="000672DE" w:rsidRPr="00411DFA">
        <w:rPr>
          <w:sz w:val="24"/>
          <w:szCs w:val="24"/>
        </w:rPr>
        <w:t>,</w:t>
      </w:r>
      <w:r w:rsidR="000672DE" w:rsidRPr="00411DFA">
        <w:rPr>
          <w:i/>
          <w:iCs/>
          <w:sz w:val="24"/>
          <w:szCs w:val="24"/>
        </w:rPr>
        <w:t xml:space="preserve"> </w:t>
      </w:r>
      <w:r w:rsidR="000672DE" w:rsidRPr="00411DFA">
        <w:rPr>
          <w:sz w:val="24"/>
          <w:szCs w:val="24"/>
        </w:rPr>
        <w:t>9</w:t>
      </w:r>
      <w:r w:rsidRPr="00411DFA">
        <w:rPr>
          <w:sz w:val="24"/>
          <w:szCs w:val="24"/>
        </w:rPr>
        <w:t>2 NY2d at 76). Forfeiture is a “</w:t>
      </w:r>
      <w:r w:rsidR="000672DE" w:rsidRPr="00411DFA">
        <w:rPr>
          <w:sz w:val="24"/>
          <w:szCs w:val="24"/>
        </w:rPr>
        <w:t>narrow departure from the hearsay rule.</w:t>
      </w:r>
      <w:r w:rsidRPr="00411DFA">
        <w:rPr>
          <w:sz w:val="24"/>
          <w:szCs w:val="24"/>
        </w:rPr>
        <w:t>”</w:t>
      </w:r>
      <w:r w:rsidR="000672DE" w:rsidRPr="00411DFA">
        <w:rPr>
          <w:sz w:val="24"/>
          <w:szCs w:val="24"/>
        </w:rPr>
        <w:t xml:space="preserve"> (</w:t>
      </w:r>
      <w:r w:rsidR="000672DE" w:rsidRPr="00411DFA">
        <w:rPr>
          <w:i/>
          <w:iCs/>
          <w:sz w:val="24"/>
          <w:szCs w:val="24"/>
        </w:rPr>
        <w:t>People v Maher</w:t>
      </w:r>
      <w:r w:rsidR="000672DE" w:rsidRPr="00411DFA">
        <w:rPr>
          <w:sz w:val="24"/>
          <w:szCs w:val="24"/>
        </w:rPr>
        <w:t>,</w:t>
      </w:r>
      <w:r w:rsidR="000672DE" w:rsidRPr="00411DFA">
        <w:rPr>
          <w:i/>
          <w:iCs/>
          <w:sz w:val="24"/>
          <w:szCs w:val="24"/>
        </w:rPr>
        <w:t xml:space="preserve"> </w:t>
      </w:r>
      <w:r w:rsidR="000672DE" w:rsidRPr="00411DFA">
        <w:rPr>
          <w:sz w:val="24"/>
          <w:szCs w:val="24"/>
        </w:rPr>
        <w:t>89 NY2d at 461.) Where the statement</w:t>
      </w:r>
      <w:r w:rsidRPr="00411DFA">
        <w:rPr>
          <w:sz w:val="24"/>
          <w:szCs w:val="24"/>
        </w:rPr>
        <w:t>’</w:t>
      </w:r>
      <w:r w:rsidR="000672DE" w:rsidRPr="00411DFA">
        <w:rPr>
          <w:sz w:val="24"/>
          <w:szCs w:val="24"/>
        </w:rPr>
        <w:t>s proponent alleges</w:t>
      </w:r>
      <w:r w:rsidR="00D32B63" w:rsidRPr="00411DFA">
        <w:rPr>
          <w:sz w:val="24"/>
          <w:szCs w:val="24"/>
        </w:rPr>
        <w:t xml:space="preserve"> </w:t>
      </w:r>
      <w:r w:rsidRPr="00411DFA">
        <w:rPr>
          <w:sz w:val="24"/>
          <w:szCs w:val="24"/>
        </w:rPr>
        <w:t>“</w:t>
      </w:r>
      <w:r w:rsidR="000672DE" w:rsidRPr="00411DFA">
        <w:rPr>
          <w:sz w:val="24"/>
          <w:szCs w:val="24"/>
        </w:rPr>
        <w:t xml:space="preserve">specific facts which demonstrate a </w:t>
      </w:r>
      <w:r w:rsidRPr="00411DFA">
        <w:rPr>
          <w:sz w:val="24"/>
          <w:szCs w:val="24"/>
        </w:rPr>
        <w:t>‘</w:t>
      </w:r>
      <w:r w:rsidR="000672DE" w:rsidRPr="00411DFA">
        <w:rPr>
          <w:sz w:val="24"/>
          <w:szCs w:val="24"/>
        </w:rPr>
        <w:t>distinct possibility</w:t>
      </w:r>
      <w:r w:rsidRPr="00411DFA">
        <w:rPr>
          <w:sz w:val="24"/>
          <w:szCs w:val="24"/>
        </w:rPr>
        <w:t>’</w:t>
      </w:r>
      <w:r w:rsidR="000672DE" w:rsidRPr="00411DFA">
        <w:rPr>
          <w:sz w:val="24"/>
          <w:szCs w:val="24"/>
        </w:rPr>
        <w:t xml:space="preserve"> that a criminal defendant has engaged in witness tampering,</w:t>
      </w:r>
      <w:r w:rsidRPr="00411DFA">
        <w:rPr>
          <w:sz w:val="24"/>
          <w:szCs w:val="24"/>
        </w:rPr>
        <w:t>”</w:t>
      </w:r>
      <w:r w:rsidR="000672DE" w:rsidRPr="00411DFA">
        <w:rPr>
          <w:sz w:val="24"/>
          <w:szCs w:val="24"/>
        </w:rPr>
        <w:t xml:space="preserve"> the court must conduct an evidentiary hearing, known as a </w:t>
      </w:r>
      <w:r w:rsidR="000672DE" w:rsidRPr="00411DFA">
        <w:rPr>
          <w:i/>
          <w:iCs/>
          <w:sz w:val="24"/>
          <w:szCs w:val="24"/>
        </w:rPr>
        <w:t>Sirois</w:t>
      </w:r>
      <w:r w:rsidR="000672DE" w:rsidRPr="00411DFA">
        <w:rPr>
          <w:sz w:val="24"/>
          <w:szCs w:val="24"/>
        </w:rPr>
        <w:t xml:space="preserve"> hearing (</w:t>
      </w:r>
      <w:r w:rsidR="000672DE" w:rsidRPr="00411DFA">
        <w:rPr>
          <w:i/>
          <w:iCs/>
          <w:sz w:val="24"/>
          <w:szCs w:val="24"/>
        </w:rPr>
        <w:t>see Matter of Holtzman v Hellenbrand</w:t>
      </w:r>
      <w:r w:rsidR="000672DE" w:rsidRPr="00411DFA">
        <w:rPr>
          <w:sz w:val="24"/>
          <w:szCs w:val="24"/>
        </w:rPr>
        <w:t>,</w:t>
      </w:r>
      <w:r w:rsidR="000672DE" w:rsidRPr="00411DFA">
        <w:rPr>
          <w:i/>
          <w:iCs/>
          <w:sz w:val="24"/>
          <w:szCs w:val="24"/>
        </w:rPr>
        <w:t xml:space="preserve"> </w:t>
      </w:r>
      <w:r w:rsidR="000672DE" w:rsidRPr="00411DFA">
        <w:rPr>
          <w:sz w:val="24"/>
          <w:szCs w:val="24"/>
        </w:rPr>
        <w:t>92 AD2d 405 [2d Dept 1983]), to determine if forfeiture should be invoked.</w:t>
      </w:r>
      <w:r w:rsidR="000672DE" w:rsidRPr="00411DFA">
        <w:rPr>
          <w:i/>
          <w:iCs/>
          <w:sz w:val="24"/>
          <w:szCs w:val="24"/>
        </w:rPr>
        <w:t xml:space="preserve"> </w:t>
      </w:r>
      <w:r w:rsidR="000672DE" w:rsidRPr="00411DFA">
        <w:rPr>
          <w:sz w:val="24"/>
          <w:szCs w:val="24"/>
        </w:rPr>
        <w:t>(</w:t>
      </w:r>
      <w:r w:rsidR="000672DE" w:rsidRPr="00411DFA">
        <w:rPr>
          <w:i/>
          <w:iCs/>
          <w:sz w:val="24"/>
          <w:szCs w:val="24"/>
        </w:rPr>
        <w:t>People v Johnson</w:t>
      </w:r>
      <w:r w:rsidR="000672DE" w:rsidRPr="00411DFA">
        <w:rPr>
          <w:sz w:val="24"/>
          <w:szCs w:val="24"/>
        </w:rPr>
        <w:t>,</w:t>
      </w:r>
      <w:r w:rsidR="000672DE" w:rsidRPr="00411DFA">
        <w:rPr>
          <w:i/>
          <w:iCs/>
          <w:sz w:val="24"/>
          <w:szCs w:val="24"/>
        </w:rPr>
        <w:t xml:space="preserve"> </w:t>
      </w:r>
      <w:r w:rsidR="000672DE" w:rsidRPr="00411DFA">
        <w:rPr>
          <w:sz w:val="24"/>
          <w:szCs w:val="24"/>
        </w:rPr>
        <w:t xml:space="preserve">93 NY2d at 258, quoting </w:t>
      </w:r>
      <w:r w:rsidR="000672DE" w:rsidRPr="00411DFA">
        <w:rPr>
          <w:i/>
          <w:iCs/>
          <w:sz w:val="24"/>
          <w:szCs w:val="24"/>
        </w:rPr>
        <w:t>People v</w:t>
      </w:r>
      <w:r w:rsidR="000672DE" w:rsidRPr="00411DFA">
        <w:rPr>
          <w:sz w:val="24"/>
          <w:szCs w:val="24"/>
        </w:rPr>
        <w:t xml:space="preserve"> </w:t>
      </w:r>
      <w:r w:rsidR="000672DE" w:rsidRPr="00411DFA">
        <w:rPr>
          <w:i/>
          <w:iCs/>
          <w:sz w:val="24"/>
          <w:szCs w:val="24"/>
        </w:rPr>
        <w:t>Cotto</w:t>
      </w:r>
      <w:r w:rsidR="000672DE" w:rsidRPr="00411DFA">
        <w:rPr>
          <w:sz w:val="24"/>
          <w:szCs w:val="24"/>
        </w:rPr>
        <w:t>, 92 NY2d at 72.) Because of the inherently surreptitious nature of witness tampering, circumstantial evidence may be used to establish, in w</w:t>
      </w:r>
      <w:r w:rsidRPr="00411DFA">
        <w:rPr>
          <w:sz w:val="24"/>
          <w:szCs w:val="24"/>
        </w:rPr>
        <w:t>hole or in part, that a witness’</w:t>
      </w:r>
      <w:r w:rsidR="000672DE" w:rsidRPr="00411DFA">
        <w:rPr>
          <w:sz w:val="24"/>
          <w:szCs w:val="24"/>
        </w:rPr>
        <w:t>s unavailability was procured by the defendant.</w:t>
      </w:r>
      <w:r w:rsidR="000672DE" w:rsidRPr="00411DFA">
        <w:rPr>
          <w:i/>
          <w:iCs/>
          <w:sz w:val="24"/>
          <w:szCs w:val="24"/>
        </w:rPr>
        <w:t xml:space="preserve"> </w:t>
      </w:r>
      <w:r w:rsidR="000672DE" w:rsidRPr="00411DFA">
        <w:rPr>
          <w:sz w:val="24"/>
          <w:szCs w:val="24"/>
        </w:rPr>
        <w:t>(</w:t>
      </w:r>
      <w:r w:rsidR="000672DE" w:rsidRPr="00411DFA">
        <w:rPr>
          <w:i/>
          <w:iCs/>
          <w:sz w:val="24"/>
          <w:szCs w:val="24"/>
        </w:rPr>
        <w:t>People v Geraci</w:t>
      </w:r>
      <w:r w:rsidR="000672DE" w:rsidRPr="00411DFA">
        <w:rPr>
          <w:sz w:val="24"/>
          <w:szCs w:val="24"/>
        </w:rPr>
        <w:t>,</w:t>
      </w:r>
      <w:r w:rsidR="000672DE" w:rsidRPr="00411DFA">
        <w:rPr>
          <w:i/>
          <w:iCs/>
          <w:sz w:val="24"/>
          <w:szCs w:val="24"/>
        </w:rPr>
        <w:t xml:space="preserve"> </w:t>
      </w:r>
      <w:r w:rsidR="000672DE" w:rsidRPr="00411DFA">
        <w:rPr>
          <w:sz w:val="24"/>
          <w:szCs w:val="24"/>
        </w:rPr>
        <w:t>85 NY2d at 369.)</w:t>
      </w:r>
    </w:p>
    <w:p w14:paraId="40A1DDAF" w14:textId="77777777" w:rsidR="000672DE" w:rsidRPr="00411DFA" w:rsidRDefault="000672DE" w:rsidP="00411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p>
    <w:p w14:paraId="1CC24856" w14:textId="61E53620" w:rsidR="000672DE" w:rsidRPr="00411DFA" w:rsidRDefault="00DC12A7" w:rsidP="00411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r w:rsidRPr="00411DFA">
        <w:rPr>
          <w:sz w:val="24"/>
          <w:szCs w:val="24"/>
        </w:rPr>
        <w:tab/>
      </w:r>
      <w:r w:rsidR="000672DE" w:rsidRPr="00411DFA">
        <w:rPr>
          <w:sz w:val="24"/>
          <w:szCs w:val="24"/>
        </w:rPr>
        <w:t>The Court of Appeals has expressly stated that this forfeiture rule is not limited to admitting prior grand jury testimony of an intimidated witness and may encompass other out-of-court statements made by an intimidated witness. (</w:t>
      </w:r>
      <w:r w:rsidR="000672DE" w:rsidRPr="00411DFA">
        <w:rPr>
          <w:i/>
          <w:iCs/>
          <w:sz w:val="24"/>
          <w:szCs w:val="24"/>
        </w:rPr>
        <w:t>People v</w:t>
      </w:r>
      <w:r w:rsidR="000672DE" w:rsidRPr="00411DFA">
        <w:rPr>
          <w:sz w:val="24"/>
          <w:szCs w:val="24"/>
        </w:rPr>
        <w:t xml:space="preserve"> </w:t>
      </w:r>
      <w:r w:rsidR="000672DE" w:rsidRPr="00411DFA">
        <w:rPr>
          <w:i/>
          <w:iCs/>
          <w:sz w:val="24"/>
          <w:szCs w:val="24"/>
        </w:rPr>
        <w:t>Cotto</w:t>
      </w:r>
      <w:r w:rsidR="000672DE" w:rsidRPr="00411DFA">
        <w:rPr>
          <w:sz w:val="24"/>
          <w:szCs w:val="24"/>
        </w:rPr>
        <w:t xml:space="preserve">, 92 NY2d at 77.) However, the </w:t>
      </w:r>
      <w:r w:rsidR="006416D3" w:rsidRPr="00411DFA">
        <w:rPr>
          <w:sz w:val="24"/>
          <w:szCs w:val="24"/>
        </w:rPr>
        <w:t>C</w:t>
      </w:r>
      <w:r w:rsidR="000672DE" w:rsidRPr="00411DFA">
        <w:rPr>
          <w:sz w:val="24"/>
          <w:szCs w:val="24"/>
        </w:rPr>
        <w:t>ourt has cautioned that any statement sought to be admitted pursuant t</w:t>
      </w:r>
      <w:r w:rsidR="00522D00" w:rsidRPr="00411DFA">
        <w:rPr>
          <w:sz w:val="24"/>
          <w:szCs w:val="24"/>
        </w:rPr>
        <w:t>o it “</w:t>
      </w:r>
      <w:r w:rsidR="000672DE" w:rsidRPr="00411DFA">
        <w:rPr>
          <w:sz w:val="24"/>
          <w:szCs w:val="24"/>
        </w:rPr>
        <w:t>cannot be so devoid of reliability as to offend due process.</w:t>
      </w:r>
      <w:r w:rsidR="00522D00" w:rsidRPr="00411DFA">
        <w:rPr>
          <w:sz w:val="24"/>
          <w:szCs w:val="24"/>
        </w:rPr>
        <w:t>”</w:t>
      </w:r>
      <w:r w:rsidR="000672DE" w:rsidRPr="00411DFA">
        <w:rPr>
          <w:i/>
          <w:iCs/>
          <w:sz w:val="24"/>
          <w:szCs w:val="24"/>
        </w:rPr>
        <w:t xml:space="preserve"> </w:t>
      </w:r>
      <w:r w:rsidR="000672DE" w:rsidRPr="00411DFA">
        <w:rPr>
          <w:sz w:val="24"/>
          <w:szCs w:val="24"/>
        </w:rPr>
        <w:t>(</w:t>
      </w:r>
      <w:r w:rsidR="000672DE" w:rsidRPr="00411DFA">
        <w:rPr>
          <w:i/>
          <w:iCs/>
          <w:sz w:val="24"/>
          <w:szCs w:val="24"/>
        </w:rPr>
        <w:t>Id.</w:t>
      </w:r>
      <w:r w:rsidR="000672DE" w:rsidRPr="00411DFA">
        <w:rPr>
          <w:sz w:val="24"/>
          <w:szCs w:val="24"/>
        </w:rPr>
        <w:t xml:space="preserve"> at 78.) </w:t>
      </w:r>
    </w:p>
    <w:p w14:paraId="645DC2D6" w14:textId="77777777" w:rsidR="000672DE" w:rsidRPr="00411DFA" w:rsidRDefault="000672DE" w:rsidP="00411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p>
    <w:p w14:paraId="7C088366" w14:textId="17AECE90" w:rsidR="000672DE" w:rsidRPr="00411DFA" w:rsidRDefault="00DC12A7" w:rsidP="00411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r w:rsidRPr="00411DFA">
        <w:rPr>
          <w:sz w:val="24"/>
          <w:szCs w:val="24"/>
        </w:rPr>
        <w:tab/>
      </w:r>
      <w:r w:rsidR="000672DE" w:rsidRPr="00411DFA">
        <w:rPr>
          <w:sz w:val="24"/>
          <w:szCs w:val="24"/>
        </w:rPr>
        <w:t xml:space="preserve">The Court of Appeals has noted that when an out-of-court statement is admitted pursuant to this </w:t>
      </w:r>
      <w:r w:rsidR="00D32B63" w:rsidRPr="00411DFA">
        <w:rPr>
          <w:sz w:val="24"/>
          <w:szCs w:val="24"/>
        </w:rPr>
        <w:t>r</w:t>
      </w:r>
      <w:r w:rsidR="000672DE" w:rsidRPr="00411DFA">
        <w:rPr>
          <w:sz w:val="24"/>
          <w:szCs w:val="24"/>
        </w:rPr>
        <w:t>ule, the trial court has the discretion to admit additional out-of-court statements of the unavailable witness for impeachment where there is a possibility that, if such impeachment is not allowed, the factfinder will be misled into giving too much weight to the initially offered statement. (</w:t>
      </w:r>
      <w:r w:rsidR="000672DE" w:rsidRPr="00411DFA">
        <w:rPr>
          <w:i/>
          <w:iCs/>
          <w:sz w:val="24"/>
          <w:szCs w:val="24"/>
        </w:rPr>
        <w:t>People v Bosier</w:t>
      </w:r>
      <w:r w:rsidR="000672DE" w:rsidRPr="00411DFA">
        <w:rPr>
          <w:sz w:val="24"/>
          <w:szCs w:val="24"/>
        </w:rPr>
        <w:t xml:space="preserve">, 6 NY3d 523, 528 [2006].) However, the </w:t>
      </w:r>
      <w:r w:rsidR="00797EAD" w:rsidRPr="00411DFA">
        <w:rPr>
          <w:sz w:val="24"/>
          <w:szCs w:val="24"/>
        </w:rPr>
        <w:t>C</w:t>
      </w:r>
      <w:r w:rsidR="000672DE" w:rsidRPr="00411DFA">
        <w:rPr>
          <w:sz w:val="24"/>
          <w:szCs w:val="24"/>
        </w:rPr>
        <w:t xml:space="preserve">ourt has cautioned that impeachment need not always be allowed. In this connection, the </w:t>
      </w:r>
      <w:r w:rsidR="00B71896" w:rsidRPr="00411DFA">
        <w:rPr>
          <w:sz w:val="24"/>
          <w:szCs w:val="24"/>
        </w:rPr>
        <w:t>C</w:t>
      </w:r>
      <w:r w:rsidR="000672DE" w:rsidRPr="00411DFA">
        <w:rPr>
          <w:sz w:val="24"/>
          <w:szCs w:val="24"/>
        </w:rPr>
        <w:t>ourt emphasized that the trial court in exercising that discretion shall consider that the party offering the impeaching statement may benefit from his own wrongful conduct because the party proffering the initial out-of-court statement will have no opportunity to rehabilitate the witness by clarifying any unclear or inconsistent impeachment evidence. (</w:t>
      </w:r>
      <w:r w:rsidR="000672DE" w:rsidRPr="00411DFA">
        <w:rPr>
          <w:i/>
          <w:iCs/>
          <w:sz w:val="24"/>
          <w:szCs w:val="24"/>
        </w:rPr>
        <w:t>Id.</w:t>
      </w:r>
      <w:r w:rsidR="00522D00" w:rsidRPr="00411DFA">
        <w:rPr>
          <w:sz w:val="24"/>
          <w:szCs w:val="24"/>
        </w:rPr>
        <w:t xml:space="preserve"> [“</w:t>
      </w:r>
      <w:r w:rsidR="000672DE" w:rsidRPr="00411DFA">
        <w:rPr>
          <w:sz w:val="24"/>
          <w:szCs w:val="24"/>
        </w:rPr>
        <w:t xml:space="preserve">Where impeachment is permitted, the defendant, in direct contravention of the most basic legal principles and the policy objectives of </w:t>
      </w:r>
      <w:r w:rsidR="000672DE" w:rsidRPr="00411DFA">
        <w:rPr>
          <w:i/>
          <w:iCs/>
          <w:sz w:val="24"/>
          <w:szCs w:val="24"/>
        </w:rPr>
        <w:t>Geraci</w:t>
      </w:r>
      <w:r w:rsidR="000672DE" w:rsidRPr="00411DFA">
        <w:rPr>
          <w:sz w:val="24"/>
          <w:szCs w:val="24"/>
        </w:rPr>
        <w:t>, may benefit from his or her own wrongful conduct because the prosecution will have no opportunity to rehabilitate the witness by clarifying any unclear or inconsistent testi</w:t>
      </w:r>
      <w:r w:rsidR="00522D00" w:rsidRPr="00411DFA">
        <w:rPr>
          <w:sz w:val="24"/>
          <w:szCs w:val="24"/>
        </w:rPr>
        <w:t>mony proffered by the defendant”</w:t>
      </w:r>
      <w:r w:rsidR="000672DE" w:rsidRPr="00411DFA">
        <w:rPr>
          <w:sz w:val="24"/>
          <w:szCs w:val="24"/>
        </w:rPr>
        <w:t xml:space="preserve">].) In </w:t>
      </w:r>
      <w:r w:rsidR="000672DE" w:rsidRPr="00411DFA">
        <w:rPr>
          <w:i/>
          <w:iCs/>
          <w:sz w:val="24"/>
          <w:szCs w:val="24"/>
        </w:rPr>
        <w:t>Bosier</w:t>
      </w:r>
      <w:r w:rsidR="000672DE" w:rsidRPr="00411DFA">
        <w:rPr>
          <w:sz w:val="24"/>
          <w:szCs w:val="24"/>
        </w:rPr>
        <w:t>, t</w:t>
      </w:r>
      <w:r w:rsidR="00522D00" w:rsidRPr="00411DFA">
        <w:rPr>
          <w:sz w:val="24"/>
          <w:szCs w:val="24"/>
        </w:rPr>
        <w:t xml:space="preserve">he </w:t>
      </w:r>
      <w:r w:rsidR="003D6041" w:rsidRPr="00411DFA">
        <w:rPr>
          <w:sz w:val="24"/>
          <w:szCs w:val="24"/>
        </w:rPr>
        <w:t>C</w:t>
      </w:r>
      <w:r w:rsidR="00522D00" w:rsidRPr="00411DFA">
        <w:rPr>
          <w:sz w:val="24"/>
          <w:szCs w:val="24"/>
        </w:rPr>
        <w:t>ourt rejected the defendant’</w:t>
      </w:r>
      <w:r w:rsidR="000672DE" w:rsidRPr="00411DFA">
        <w:rPr>
          <w:sz w:val="24"/>
          <w:szCs w:val="24"/>
        </w:rPr>
        <w:t xml:space="preserve">s impeachment </w:t>
      </w:r>
      <w:r w:rsidR="00522D00" w:rsidRPr="00411DFA">
        <w:rPr>
          <w:sz w:val="24"/>
          <w:szCs w:val="24"/>
        </w:rPr>
        <w:t>attempt, commenting that since “</w:t>
      </w:r>
      <w:r w:rsidR="000672DE" w:rsidRPr="00411DFA">
        <w:rPr>
          <w:sz w:val="24"/>
          <w:szCs w:val="24"/>
        </w:rPr>
        <w:t>the inconsistency defendant relied on did not go to the heart of the prosecution</w:t>
      </w:r>
      <w:r w:rsidR="00522D00" w:rsidRPr="00411DFA">
        <w:rPr>
          <w:sz w:val="24"/>
          <w:szCs w:val="24"/>
        </w:rPr>
        <w:t>’</w:t>
      </w:r>
      <w:r w:rsidR="000672DE" w:rsidRPr="00411DFA">
        <w:rPr>
          <w:sz w:val="24"/>
          <w:szCs w:val="24"/>
        </w:rPr>
        <w:t>s case and might well have been credibly explained if the witness had been present, it was not an abuse of discretion to exclude the impeaching evidence.</w:t>
      </w:r>
      <w:r w:rsidR="00522D00" w:rsidRPr="00411DFA">
        <w:rPr>
          <w:sz w:val="24"/>
          <w:szCs w:val="24"/>
        </w:rPr>
        <w:t>”</w:t>
      </w:r>
      <w:r w:rsidR="000672DE" w:rsidRPr="00411DFA">
        <w:rPr>
          <w:sz w:val="24"/>
          <w:szCs w:val="24"/>
        </w:rPr>
        <w:t xml:space="preserve"> (</w:t>
      </w:r>
      <w:r w:rsidR="000672DE" w:rsidRPr="00411DFA">
        <w:rPr>
          <w:i/>
          <w:iCs/>
          <w:sz w:val="24"/>
          <w:szCs w:val="24"/>
        </w:rPr>
        <w:t>Id.</w:t>
      </w:r>
      <w:r w:rsidR="000672DE" w:rsidRPr="00411DFA">
        <w:rPr>
          <w:sz w:val="24"/>
          <w:szCs w:val="24"/>
        </w:rPr>
        <w:t>)</w:t>
      </w:r>
    </w:p>
    <w:p w14:paraId="27BE5206" w14:textId="7B44D6FF" w:rsidR="00391479" w:rsidRPr="00E37CA3" w:rsidRDefault="00DC12A7" w:rsidP="00411DFA">
      <w:pPr>
        <w:shd w:val="clear" w:color="auto" w:fill="FFFFFF"/>
        <w:tabs>
          <w:tab w:val="left" w:pos="720"/>
        </w:tabs>
        <w:spacing w:line="276" w:lineRule="auto"/>
        <w:jc w:val="both"/>
        <w:rPr>
          <w:sz w:val="24"/>
          <w:szCs w:val="24"/>
        </w:rPr>
      </w:pPr>
      <w:r w:rsidRPr="00E37CA3">
        <w:rPr>
          <w:sz w:val="24"/>
          <w:szCs w:val="24"/>
        </w:rPr>
        <w:lastRenderedPageBreak/>
        <w:tab/>
      </w:r>
      <w:r w:rsidR="00391479" w:rsidRPr="00E37CA3">
        <w:rPr>
          <w:sz w:val="24"/>
          <w:szCs w:val="24"/>
        </w:rPr>
        <w:t>When the hearsay statement of a witness is admissible, the “better practice” would be for “‘nonjudicial court personnel unaffiliated with the prosecutor’s office’” to read the statement to the jury. (</w:t>
      </w:r>
      <w:r w:rsidR="00391479" w:rsidRPr="00E37CA3">
        <w:rPr>
          <w:i/>
          <w:iCs/>
          <w:sz w:val="24"/>
          <w:szCs w:val="24"/>
          <w:bdr w:val="none" w:sz="0" w:space="0" w:color="auto" w:frame="1"/>
        </w:rPr>
        <w:t>People v Dimas</w:t>
      </w:r>
      <w:r w:rsidR="00391479" w:rsidRPr="00E37CA3">
        <w:rPr>
          <w:sz w:val="24"/>
          <w:szCs w:val="24"/>
        </w:rPr>
        <w:t>, 228 AD3d 955, 957 [2d Dept 2024] [citation omitted]</w:t>
      </w:r>
      <w:r w:rsidR="0064669A" w:rsidRPr="00E37CA3">
        <w:rPr>
          <w:sz w:val="24"/>
          <w:szCs w:val="24"/>
        </w:rPr>
        <w:t>.</w:t>
      </w:r>
      <w:r w:rsidR="00391479" w:rsidRPr="00E37CA3">
        <w:rPr>
          <w:sz w:val="24"/>
          <w:szCs w:val="24"/>
        </w:rPr>
        <w:t>)</w:t>
      </w:r>
    </w:p>
    <w:p w14:paraId="7B9FC65E" w14:textId="77777777" w:rsidR="009F481E" w:rsidRPr="00411DFA" w:rsidRDefault="009F481E" w:rsidP="00411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p>
    <w:p w14:paraId="100EF059" w14:textId="7FDB0A9D" w:rsidR="000672DE" w:rsidRPr="00411DFA" w:rsidRDefault="00DC12A7" w:rsidP="00411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r w:rsidRPr="00411DFA">
        <w:rPr>
          <w:sz w:val="24"/>
          <w:szCs w:val="24"/>
        </w:rPr>
        <w:tab/>
      </w:r>
      <w:r w:rsidR="000672DE" w:rsidRPr="00411DFA">
        <w:rPr>
          <w:sz w:val="24"/>
          <w:szCs w:val="24"/>
        </w:rPr>
        <w:t xml:space="preserve">While the forfeiture </w:t>
      </w:r>
      <w:r w:rsidR="00D32B63" w:rsidRPr="00411DFA">
        <w:rPr>
          <w:sz w:val="24"/>
          <w:szCs w:val="24"/>
        </w:rPr>
        <w:t>r</w:t>
      </w:r>
      <w:r w:rsidR="000672DE" w:rsidRPr="00411DFA">
        <w:rPr>
          <w:sz w:val="24"/>
          <w:szCs w:val="24"/>
        </w:rPr>
        <w:t xml:space="preserve">ule has arisen in criminal cases, there is no indication in the case law that the </w:t>
      </w:r>
      <w:r w:rsidR="004B1FE6" w:rsidRPr="00411DFA">
        <w:rPr>
          <w:sz w:val="24"/>
          <w:szCs w:val="24"/>
        </w:rPr>
        <w:t>r</w:t>
      </w:r>
      <w:r w:rsidR="000672DE" w:rsidRPr="00411DFA">
        <w:rPr>
          <w:sz w:val="24"/>
          <w:szCs w:val="24"/>
        </w:rPr>
        <w:t>ule is not applicable in civil actions when a party seeks to introduce a statement of an intimidated witness over a hearsay objection.</w:t>
      </w:r>
    </w:p>
    <w:sectPr w:rsidR="000672DE" w:rsidRPr="00411DFA" w:rsidSect="000C2AFC">
      <w:footerReference w:type="default" r:id="rId6"/>
      <w:type w:val="continuous"/>
      <w:pgSz w:w="12240" w:h="15840" w:code="1"/>
      <w:pgMar w:top="1440" w:right="216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CBD29" w14:textId="77777777" w:rsidR="0056305B" w:rsidRDefault="0056305B">
      <w:r>
        <w:separator/>
      </w:r>
    </w:p>
  </w:endnote>
  <w:endnote w:type="continuationSeparator" w:id="0">
    <w:p w14:paraId="2D99C2F3" w14:textId="77777777" w:rsidR="0056305B" w:rsidRDefault="0056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016B8" w14:textId="77777777" w:rsidR="000C2AFC" w:rsidRDefault="000C2AFC">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5150B" w14:textId="77777777" w:rsidR="0056305B" w:rsidRDefault="0056305B">
      <w:r>
        <w:separator/>
      </w:r>
    </w:p>
  </w:footnote>
  <w:footnote w:type="continuationSeparator" w:id="0">
    <w:p w14:paraId="31173AE1" w14:textId="77777777" w:rsidR="0056305B" w:rsidRDefault="00563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doNotTrackMoves/>
  <w:defaultTabStop w:val="720"/>
  <w:hyphenationZone w:val="40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2B63"/>
    <w:rsid w:val="000672DE"/>
    <w:rsid w:val="000C2AFC"/>
    <w:rsid w:val="00136C97"/>
    <w:rsid w:val="001C740D"/>
    <w:rsid w:val="00215A0C"/>
    <w:rsid w:val="002902A0"/>
    <w:rsid w:val="002C5550"/>
    <w:rsid w:val="002F7E82"/>
    <w:rsid w:val="00391479"/>
    <w:rsid w:val="003D6041"/>
    <w:rsid w:val="003E1515"/>
    <w:rsid w:val="00411DFA"/>
    <w:rsid w:val="004478B8"/>
    <w:rsid w:val="00467A7C"/>
    <w:rsid w:val="004B1FE6"/>
    <w:rsid w:val="004F1B4C"/>
    <w:rsid w:val="00514868"/>
    <w:rsid w:val="00522D00"/>
    <w:rsid w:val="00524D85"/>
    <w:rsid w:val="00531E29"/>
    <w:rsid w:val="0056305B"/>
    <w:rsid w:val="0058738F"/>
    <w:rsid w:val="005B4769"/>
    <w:rsid w:val="005C110E"/>
    <w:rsid w:val="005D1DD1"/>
    <w:rsid w:val="005D23AA"/>
    <w:rsid w:val="006206FD"/>
    <w:rsid w:val="006416D3"/>
    <w:rsid w:val="0064669A"/>
    <w:rsid w:val="00651E0D"/>
    <w:rsid w:val="006710A0"/>
    <w:rsid w:val="0067197F"/>
    <w:rsid w:val="0068125F"/>
    <w:rsid w:val="006940F8"/>
    <w:rsid w:val="006E1487"/>
    <w:rsid w:val="006E6D55"/>
    <w:rsid w:val="006F0726"/>
    <w:rsid w:val="006F3D47"/>
    <w:rsid w:val="007215A5"/>
    <w:rsid w:val="00722A9C"/>
    <w:rsid w:val="00762869"/>
    <w:rsid w:val="00797EAD"/>
    <w:rsid w:val="007A7D69"/>
    <w:rsid w:val="007C1C68"/>
    <w:rsid w:val="008267EC"/>
    <w:rsid w:val="008C6012"/>
    <w:rsid w:val="008E24C5"/>
    <w:rsid w:val="00971070"/>
    <w:rsid w:val="00974F3F"/>
    <w:rsid w:val="009A52E1"/>
    <w:rsid w:val="009F481E"/>
    <w:rsid w:val="00A0291D"/>
    <w:rsid w:val="00A101D8"/>
    <w:rsid w:val="00A21379"/>
    <w:rsid w:val="00A578AA"/>
    <w:rsid w:val="00A82461"/>
    <w:rsid w:val="00B64639"/>
    <w:rsid w:val="00B71896"/>
    <w:rsid w:val="00BA7DB3"/>
    <w:rsid w:val="00C22FF4"/>
    <w:rsid w:val="00C2347E"/>
    <w:rsid w:val="00C26F61"/>
    <w:rsid w:val="00C63800"/>
    <w:rsid w:val="00C95AC9"/>
    <w:rsid w:val="00CA0733"/>
    <w:rsid w:val="00CA3E13"/>
    <w:rsid w:val="00CC1E52"/>
    <w:rsid w:val="00CE6894"/>
    <w:rsid w:val="00CF7467"/>
    <w:rsid w:val="00D21D07"/>
    <w:rsid w:val="00D24ED2"/>
    <w:rsid w:val="00D32B63"/>
    <w:rsid w:val="00D3655C"/>
    <w:rsid w:val="00D96F90"/>
    <w:rsid w:val="00DC12A7"/>
    <w:rsid w:val="00E37CA3"/>
    <w:rsid w:val="00E63F78"/>
    <w:rsid w:val="00E87110"/>
    <w:rsid w:val="00FA4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67B4E"/>
  <w14:defaultImageDpi w14:val="0"/>
  <w15:docId w15:val="{63CACE4F-93D6-40A3-A245-0A464976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7920"/>
      </w:tabs>
      <w:jc w:val="both"/>
    </w:pPr>
    <w:rPr>
      <w:sz w:val="24"/>
      <w:szCs w:val="24"/>
    </w:rPr>
  </w:style>
  <w:style w:type="character" w:customStyle="1" w:styleId="FooterChar">
    <w:name w:val="Footer Char"/>
    <w:link w:val="Footer"/>
    <w:uiPriority w:val="99"/>
    <w:locked/>
    <w:rPr>
      <w:rFonts w:ascii="Times New Roman" w:hAnsi="Times New Roman" w:cs="Times New Roman"/>
      <w:sz w:val="20"/>
      <w:szCs w:val="20"/>
    </w:rPr>
  </w:style>
  <w:style w:type="paragraph" w:customStyle="1" w:styleId="ListParagra">
    <w:name w:val="List Paragra"/>
    <w:uiPriority w:val="99"/>
    <w:pPr>
      <w:widowControl w:val="0"/>
      <w:autoSpaceDE w:val="0"/>
      <w:autoSpaceDN w:val="0"/>
      <w:adjustRightInd w:val="0"/>
      <w:ind w:left="720"/>
      <w:jc w:val="both"/>
    </w:pPr>
    <w:rPr>
      <w:rFonts w:ascii="Times New Roman" w:hAnsi="Times New Roman"/>
      <w:sz w:val="24"/>
      <w:szCs w:val="24"/>
    </w:rPr>
  </w:style>
  <w:style w:type="paragraph" w:styleId="Header">
    <w:name w:val="header"/>
    <w:basedOn w:val="Normal"/>
    <w:link w:val="HeaderChar"/>
    <w:uiPriority w:val="99"/>
    <w:unhideWhenUsed/>
    <w:rsid w:val="00522D00"/>
    <w:pPr>
      <w:tabs>
        <w:tab w:val="center" w:pos="4680"/>
        <w:tab w:val="right" w:pos="9360"/>
      </w:tabs>
    </w:pPr>
  </w:style>
  <w:style w:type="character" w:customStyle="1" w:styleId="HeaderChar">
    <w:name w:val="Header Char"/>
    <w:link w:val="Header"/>
    <w:uiPriority w:val="99"/>
    <w:locked/>
    <w:rsid w:val="00522D00"/>
    <w:rPr>
      <w:rFonts w:ascii="Times New Roman" w:hAnsi="Times New Roman" w:cs="Times New Roman"/>
      <w:sz w:val="20"/>
      <w:szCs w:val="20"/>
    </w:rPr>
  </w:style>
  <w:style w:type="paragraph" w:styleId="NoSpacing">
    <w:name w:val="No Spacing"/>
    <w:uiPriority w:val="1"/>
    <w:qFormat/>
    <w:rsid w:val="00136C97"/>
    <w:pPr>
      <w:spacing w:line="276" w:lineRule="auto"/>
      <w:jc w:val="both"/>
    </w:pPr>
    <w:rPr>
      <w:rFonts w:ascii="Times New Roman" w:eastAsia="Aptos" w:hAnsi="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907</Words>
  <Characters>4776</Characters>
  <Application>Microsoft Office Word</Application>
  <DocSecurity>0</DocSecurity>
  <Lines>90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Whiteman</dc:creator>
  <cp:keywords/>
  <dc:description/>
  <cp:lastModifiedBy>Bill Donnino</cp:lastModifiedBy>
  <cp:revision>48</cp:revision>
  <cp:lastPrinted>2024-09-20T19:58:00Z</cp:lastPrinted>
  <dcterms:created xsi:type="dcterms:W3CDTF">2024-08-06T14:50:00Z</dcterms:created>
  <dcterms:modified xsi:type="dcterms:W3CDTF">2024-09-20T19:58:00Z</dcterms:modified>
</cp:coreProperties>
</file>