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91A9" w14:textId="77777777" w:rsidR="00746CFB" w:rsidRPr="007C410E" w:rsidRDefault="00746CFB" w:rsidP="00BF3E9C">
      <w:pPr>
        <w:widowControl/>
        <w:tabs>
          <w:tab w:val="left" w:pos="81"/>
          <w:tab w:val="left" w:pos="719"/>
          <w:tab w:val="left" w:pos="1439"/>
          <w:tab w:val="left" w:pos="2159"/>
          <w:tab w:val="left" w:pos="2879"/>
          <w:tab w:val="left" w:pos="3599"/>
          <w:tab w:val="left" w:pos="4319"/>
          <w:tab w:val="left" w:pos="5039"/>
          <w:tab w:val="left" w:pos="5759"/>
          <w:tab w:val="left" w:pos="6496"/>
        </w:tabs>
        <w:spacing w:line="276" w:lineRule="auto"/>
        <w:ind w:left="81" w:right="1428" w:hanging="9"/>
        <w:jc w:val="both"/>
        <w:rPr>
          <w:b/>
          <w:bCs/>
          <w:sz w:val="28"/>
          <w:szCs w:val="28"/>
        </w:rPr>
      </w:pPr>
      <w:r w:rsidRPr="007C410E">
        <w:rPr>
          <w:sz w:val="28"/>
          <w:szCs w:val="28"/>
          <w:lang w:val="en-CA"/>
        </w:rPr>
        <w:fldChar w:fldCharType="begin"/>
      </w:r>
      <w:r w:rsidRPr="007C410E">
        <w:rPr>
          <w:sz w:val="28"/>
          <w:szCs w:val="28"/>
          <w:lang w:val="en-CA"/>
        </w:rPr>
        <w:instrText xml:space="preserve"> SEQ CHAPTER \h \r 1</w:instrText>
      </w:r>
      <w:r w:rsidRPr="007C410E">
        <w:rPr>
          <w:sz w:val="28"/>
          <w:szCs w:val="28"/>
          <w:lang w:val="en-CA"/>
        </w:rPr>
        <w:fldChar w:fldCharType="end"/>
      </w:r>
      <w:r w:rsidRPr="007C410E">
        <w:rPr>
          <w:b/>
          <w:bCs/>
          <w:sz w:val="28"/>
          <w:szCs w:val="28"/>
        </w:rPr>
        <w:t>8.3</w:t>
      </w:r>
      <w:r w:rsidR="00924222">
        <w:rPr>
          <w:b/>
          <w:bCs/>
          <w:sz w:val="28"/>
          <w:szCs w:val="28"/>
        </w:rPr>
        <w:t>9</w:t>
      </w:r>
      <w:r w:rsidRPr="007C410E">
        <w:rPr>
          <w:b/>
          <w:bCs/>
          <w:sz w:val="28"/>
          <w:szCs w:val="28"/>
        </w:rPr>
        <w:t xml:space="preserve">. Reputation Evidence </w:t>
      </w:r>
    </w:p>
    <w:p w14:paraId="1A57D5F7" w14:textId="77777777" w:rsidR="001341F7" w:rsidRDefault="001341F7" w:rsidP="00BF3E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b/>
          <w:bCs/>
          <w:sz w:val="28"/>
          <w:szCs w:val="28"/>
        </w:rPr>
      </w:pPr>
    </w:p>
    <w:p w14:paraId="5870EBF0" w14:textId="7F183AF6" w:rsidR="005C312A" w:rsidRDefault="00746CFB" w:rsidP="00BF3E9C">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right="720"/>
        <w:rPr>
          <w:b/>
          <w:bCs/>
          <w:sz w:val="28"/>
          <w:szCs w:val="28"/>
        </w:rPr>
      </w:pPr>
      <w:r w:rsidRPr="005C312A">
        <w:rPr>
          <w:b/>
          <w:bCs/>
          <w:sz w:val="28"/>
          <w:szCs w:val="28"/>
        </w:rPr>
        <w:t xml:space="preserve">Character Trait. </w:t>
      </w:r>
    </w:p>
    <w:p w14:paraId="5F9AFB55" w14:textId="77777777" w:rsidR="005C312A" w:rsidRDefault="005C312A" w:rsidP="00BF3E9C">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left="1113" w:right="720"/>
        <w:rPr>
          <w:b/>
          <w:bCs/>
          <w:sz w:val="28"/>
          <w:szCs w:val="28"/>
        </w:rPr>
      </w:pPr>
    </w:p>
    <w:p w14:paraId="0AF2B0FF" w14:textId="5BAC54F2" w:rsidR="005C312A" w:rsidRPr="005C312A" w:rsidRDefault="005C312A" w:rsidP="00BF3E9C">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left="1296" w:right="720"/>
        <w:jc w:val="both"/>
        <w:rPr>
          <w:b/>
          <w:bCs/>
          <w:sz w:val="28"/>
          <w:szCs w:val="28"/>
        </w:rPr>
      </w:pPr>
      <w:r w:rsidRPr="005C312A">
        <w:rPr>
          <w:b/>
          <w:bCs/>
          <w:sz w:val="28"/>
          <w:szCs w:val="28"/>
        </w:rPr>
        <w:t xml:space="preserve">(a) </w:t>
      </w:r>
      <w:r w:rsidR="00746CFB" w:rsidRPr="005C312A">
        <w:rPr>
          <w:b/>
          <w:bCs/>
          <w:sz w:val="28"/>
          <w:szCs w:val="28"/>
        </w:rPr>
        <w:t xml:space="preserve">Evidence of </w:t>
      </w:r>
      <w:r>
        <w:rPr>
          <w:b/>
          <w:bCs/>
          <w:sz w:val="28"/>
          <w:szCs w:val="28"/>
        </w:rPr>
        <w:t xml:space="preserve">a person's </w:t>
      </w:r>
      <w:r w:rsidR="00746CFB" w:rsidRPr="005C312A">
        <w:rPr>
          <w:b/>
          <w:bCs/>
          <w:sz w:val="28"/>
          <w:szCs w:val="28"/>
        </w:rPr>
        <w:t xml:space="preserve">reputation among a “community of individuals” of a character trait is admissible </w:t>
      </w:r>
      <w:r>
        <w:rPr>
          <w:b/>
          <w:bCs/>
          <w:sz w:val="28"/>
          <w:szCs w:val="28"/>
        </w:rPr>
        <w:t>as set forth in Guide to NY Evidence rule 4.11 [Character Evidence]</w:t>
      </w:r>
      <w:r w:rsidR="00746CFB" w:rsidRPr="005C312A">
        <w:rPr>
          <w:b/>
          <w:bCs/>
          <w:sz w:val="28"/>
          <w:szCs w:val="28"/>
        </w:rPr>
        <w:t>.</w:t>
      </w:r>
      <w:r>
        <w:rPr>
          <w:rStyle w:val="FootnoteReference"/>
          <w:b/>
          <w:bCs/>
          <w:sz w:val="28"/>
          <w:szCs w:val="28"/>
        </w:rPr>
        <w:footnoteReference w:id="1"/>
      </w:r>
    </w:p>
    <w:p w14:paraId="52039E37" w14:textId="77777777" w:rsidR="007C410E" w:rsidRPr="007C410E" w:rsidRDefault="007C410E" w:rsidP="00BF3E9C">
      <w:pPr>
        <w:pStyle w:val="L1-1"/>
        <w:widowControl/>
        <w:tabs>
          <w:tab w:val="left" w:pos="1165"/>
          <w:tab w:val="left" w:pos="5309"/>
          <w:tab w:val="left" w:pos="5759"/>
          <w:tab w:val="left" w:pos="6479"/>
          <w:tab w:val="left" w:pos="7199"/>
        </w:tabs>
        <w:spacing w:line="276" w:lineRule="auto"/>
        <w:ind w:left="0" w:right="720"/>
        <w:rPr>
          <w:rFonts w:ascii="Times New Roman" w:hAnsi="Times New Roman" w:cs="Times New Roman"/>
          <w:b/>
          <w:bCs/>
          <w:sz w:val="28"/>
          <w:szCs w:val="28"/>
        </w:rPr>
      </w:pPr>
    </w:p>
    <w:p w14:paraId="6FD98336" w14:textId="3EC40C59" w:rsidR="00746CFB" w:rsidRDefault="005C312A" w:rsidP="00BF3E9C">
      <w:pPr>
        <w:pStyle w:val="L1-2"/>
        <w:widowControl/>
        <w:tabs>
          <w:tab w:val="left" w:pos="2159"/>
          <w:tab w:val="left" w:pos="2879"/>
          <w:tab w:val="left" w:pos="3599"/>
          <w:tab w:val="left" w:pos="4319"/>
          <w:tab w:val="left" w:pos="5039"/>
          <w:tab w:val="left" w:pos="5759"/>
        </w:tabs>
        <w:spacing w:line="276" w:lineRule="auto"/>
        <w:ind w:left="1285" w:right="720"/>
        <w:rPr>
          <w:rFonts w:ascii="Times New Roman" w:hAnsi="Times New Roman" w:cs="Times New Roman"/>
          <w:b/>
          <w:bCs/>
          <w:sz w:val="28"/>
          <w:szCs w:val="28"/>
        </w:rPr>
      </w:pPr>
      <w:r>
        <w:rPr>
          <w:rFonts w:ascii="Times New Roman" w:hAnsi="Times New Roman" w:cs="Times New Roman"/>
          <w:b/>
          <w:bCs/>
          <w:sz w:val="28"/>
          <w:szCs w:val="28"/>
        </w:rPr>
        <w:t>(b)</w:t>
      </w:r>
      <w:r w:rsidR="001341F7">
        <w:rPr>
          <w:rFonts w:ascii="Times New Roman" w:hAnsi="Times New Roman" w:cs="Times New Roman"/>
          <w:b/>
          <w:bCs/>
          <w:sz w:val="28"/>
          <w:szCs w:val="28"/>
        </w:rPr>
        <w:t xml:space="preserve"> </w:t>
      </w:r>
      <w:r w:rsidR="00746CFB" w:rsidRPr="007C410E">
        <w:rPr>
          <w:rFonts w:ascii="Times New Roman" w:hAnsi="Times New Roman" w:cs="Times New Roman"/>
          <w:b/>
          <w:bCs/>
          <w:sz w:val="28"/>
          <w:szCs w:val="28"/>
        </w:rPr>
        <w:t>A “community of individuals” exists wherever the person</w:t>
      </w:r>
      <w:r w:rsidR="00413473">
        <w:rPr>
          <w:rFonts w:ascii="Times New Roman" w:hAnsi="Times New Roman" w:cs="Times New Roman"/>
          <w:b/>
          <w:bCs/>
          <w:sz w:val="28"/>
          <w:szCs w:val="28"/>
        </w:rPr>
        <w:t>’</w:t>
      </w:r>
      <w:r w:rsidR="00746CFB" w:rsidRPr="007C410E">
        <w:rPr>
          <w:rFonts w:ascii="Times New Roman" w:hAnsi="Times New Roman" w:cs="Times New Roman"/>
          <w:b/>
          <w:bCs/>
          <w:sz w:val="28"/>
          <w:szCs w:val="28"/>
        </w:rPr>
        <w:t>s associations are of such quantity and quality as to permit the person to be personally observed</w:t>
      </w:r>
      <w:r w:rsidR="00746CFB" w:rsidRPr="007C410E">
        <w:rPr>
          <w:rFonts w:ascii="Times New Roman" w:hAnsi="Times New Roman" w:cs="Times New Roman"/>
          <w:b/>
          <w:bCs/>
          <w:sz w:val="28"/>
          <w:szCs w:val="28"/>
          <w:vertAlign w:val="subscript"/>
        </w:rPr>
        <w:t xml:space="preserve"> </w:t>
      </w:r>
      <w:r w:rsidR="00746CFB" w:rsidRPr="007C410E">
        <w:rPr>
          <w:rFonts w:ascii="Times New Roman" w:hAnsi="Times New Roman" w:cs="Times New Roman"/>
          <w:b/>
          <w:bCs/>
          <w:sz w:val="28"/>
          <w:szCs w:val="28"/>
        </w:rPr>
        <w:t xml:space="preserve">by a sufficient number of individuals to give reasonable assurance of reliability of that reputation. </w:t>
      </w:r>
    </w:p>
    <w:p w14:paraId="068BA9A7" w14:textId="77777777" w:rsidR="007C410E" w:rsidRPr="007C410E" w:rsidRDefault="007C410E" w:rsidP="00BF3E9C">
      <w:pPr>
        <w:pStyle w:val="L1-2"/>
        <w:widowControl/>
        <w:tabs>
          <w:tab w:val="left" w:pos="2159"/>
          <w:tab w:val="left" w:pos="2879"/>
          <w:tab w:val="left" w:pos="3599"/>
          <w:tab w:val="left" w:pos="4319"/>
          <w:tab w:val="left" w:pos="5039"/>
          <w:tab w:val="left" w:pos="5759"/>
          <w:tab w:val="left" w:pos="6496"/>
        </w:tabs>
        <w:spacing w:line="276" w:lineRule="auto"/>
        <w:ind w:left="1260" w:right="1428" w:firstLine="25"/>
        <w:rPr>
          <w:rFonts w:ascii="Times New Roman" w:hAnsi="Times New Roman" w:cs="Times New Roman"/>
          <w:b/>
          <w:bCs/>
          <w:sz w:val="28"/>
          <w:szCs w:val="28"/>
        </w:rPr>
      </w:pPr>
    </w:p>
    <w:p w14:paraId="36F82909" w14:textId="75EAB1CB" w:rsidR="00746CFB" w:rsidRDefault="005C312A" w:rsidP="00BF3E9C">
      <w:pPr>
        <w:pStyle w:val="L1-2"/>
        <w:widowControl/>
        <w:tabs>
          <w:tab w:val="left" w:pos="2159"/>
          <w:tab w:val="left" w:pos="2879"/>
          <w:tab w:val="left" w:pos="3599"/>
          <w:tab w:val="left" w:pos="4319"/>
          <w:tab w:val="left" w:pos="5039"/>
          <w:tab w:val="left" w:pos="5759"/>
        </w:tabs>
        <w:spacing w:line="276" w:lineRule="auto"/>
        <w:ind w:left="1285" w:right="720"/>
        <w:rPr>
          <w:rFonts w:ascii="Times New Roman" w:hAnsi="Times New Roman" w:cs="Times New Roman"/>
          <w:b/>
          <w:bCs/>
          <w:sz w:val="28"/>
          <w:szCs w:val="28"/>
        </w:rPr>
      </w:pPr>
      <w:r>
        <w:rPr>
          <w:rFonts w:ascii="Times New Roman" w:hAnsi="Times New Roman" w:cs="Times New Roman"/>
          <w:b/>
          <w:bCs/>
          <w:sz w:val="28"/>
          <w:szCs w:val="28"/>
        </w:rPr>
        <w:t>(c)</w:t>
      </w:r>
      <w:r w:rsidR="001341F7">
        <w:rPr>
          <w:rFonts w:ascii="Times New Roman" w:hAnsi="Times New Roman" w:cs="Times New Roman"/>
          <w:b/>
          <w:bCs/>
          <w:sz w:val="28"/>
          <w:szCs w:val="28"/>
        </w:rPr>
        <w:t xml:space="preserve"> </w:t>
      </w:r>
      <w:r w:rsidR="00746CFB" w:rsidRPr="007C410E">
        <w:rPr>
          <w:rFonts w:ascii="Times New Roman" w:hAnsi="Times New Roman" w:cs="Times New Roman"/>
          <w:b/>
          <w:bCs/>
          <w:sz w:val="28"/>
          <w:szCs w:val="28"/>
        </w:rPr>
        <w:t xml:space="preserve">The foundation for the admission of such reputation evidence requires that a witness testify to views of a sufficient number of individuals who have had sufficient experience with the person whose reputation is being testified to. </w:t>
      </w:r>
    </w:p>
    <w:p w14:paraId="694B0F0A" w14:textId="77777777" w:rsidR="007C410E" w:rsidRPr="007C410E" w:rsidRDefault="007C410E" w:rsidP="00BF3E9C">
      <w:pPr>
        <w:pStyle w:val="L1-2"/>
        <w:widowControl/>
        <w:tabs>
          <w:tab w:val="left" w:pos="2159"/>
          <w:tab w:val="left" w:pos="2879"/>
          <w:tab w:val="left" w:pos="3599"/>
          <w:tab w:val="left" w:pos="4319"/>
          <w:tab w:val="left" w:pos="5039"/>
          <w:tab w:val="left" w:pos="5759"/>
          <w:tab w:val="left" w:pos="6496"/>
        </w:tabs>
        <w:spacing w:line="276" w:lineRule="auto"/>
        <w:ind w:left="1260" w:right="1428" w:firstLine="25"/>
        <w:rPr>
          <w:rFonts w:ascii="Times New Roman" w:hAnsi="Times New Roman" w:cs="Times New Roman"/>
          <w:b/>
          <w:bCs/>
          <w:sz w:val="28"/>
          <w:szCs w:val="28"/>
        </w:rPr>
      </w:pPr>
    </w:p>
    <w:p w14:paraId="7F8CEB7D" w14:textId="1281294A" w:rsidR="00746CFB" w:rsidRDefault="005C312A" w:rsidP="00BF3E9C">
      <w:pPr>
        <w:pStyle w:val="L1-2"/>
        <w:widowControl/>
        <w:tabs>
          <w:tab w:val="left" w:pos="2159"/>
          <w:tab w:val="left" w:pos="2879"/>
          <w:tab w:val="left" w:pos="3599"/>
          <w:tab w:val="left" w:pos="4319"/>
          <w:tab w:val="left" w:pos="5039"/>
          <w:tab w:val="left" w:pos="5759"/>
        </w:tabs>
        <w:spacing w:line="276" w:lineRule="auto"/>
        <w:ind w:left="1285" w:right="720"/>
        <w:rPr>
          <w:rFonts w:ascii="Times New Roman" w:hAnsi="Times New Roman" w:cs="Times New Roman"/>
          <w:b/>
          <w:bCs/>
          <w:sz w:val="28"/>
          <w:szCs w:val="28"/>
        </w:rPr>
      </w:pPr>
      <w:r>
        <w:rPr>
          <w:rFonts w:ascii="Times New Roman" w:hAnsi="Times New Roman" w:cs="Times New Roman"/>
          <w:b/>
          <w:bCs/>
          <w:sz w:val="28"/>
          <w:szCs w:val="28"/>
        </w:rPr>
        <w:t>(d)</w:t>
      </w:r>
      <w:r w:rsidR="001341F7">
        <w:rPr>
          <w:rFonts w:ascii="Times New Roman" w:hAnsi="Times New Roman" w:cs="Times New Roman"/>
          <w:b/>
          <w:bCs/>
          <w:sz w:val="28"/>
          <w:szCs w:val="28"/>
        </w:rPr>
        <w:t xml:space="preserve"> </w:t>
      </w:r>
      <w:r w:rsidR="00746CFB" w:rsidRPr="007C410E">
        <w:rPr>
          <w:rFonts w:ascii="Times New Roman" w:hAnsi="Times New Roman" w:cs="Times New Roman"/>
          <w:b/>
          <w:bCs/>
          <w:sz w:val="28"/>
          <w:szCs w:val="28"/>
        </w:rPr>
        <w:t>Reputation may not be proved by evidence of specific acts of a person, or by a witness</w:t>
      </w:r>
      <w:r w:rsidR="00413473">
        <w:rPr>
          <w:rFonts w:ascii="Times New Roman" w:hAnsi="Times New Roman" w:cs="Times New Roman"/>
          <w:b/>
          <w:bCs/>
          <w:sz w:val="28"/>
          <w:szCs w:val="28"/>
        </w:rPr>
        <w:t>’</w:t>
      </w:r>
      <w:r w:rsidR="00746CFB" w:rsidRPr="007C410E">
        <w:rPr>
          <w:rFonts w:ascii="Times New Roman" w:hAnsi="Times New Roman" w:cs="Times New Roman"/>
          <w:b/>
          <w:bCs/>
          <w:sz w:val="28"/>
          <w:szCs w:val="28"/>
        </w:rPr>
        <w:t xml:space="preserve">s opinion </w:t>
      </w:r>
      <w:r w:rsidR="00A250E3">
        <w:rPr>
          <w:rFonts w:ascii="Times New Roman" w:hAnsi="Times New Roman" w:cs="Times New Roman"/>
          <w:b/>
          <w:bCs/>
          <w:sz w:val="28"/>
          <w:szCs w:val="28"/>
        </w:rPr>
        <w:t xml:space="preserve">of </w:t>
      </w:r>
      <w:r w:rsidR="00746CFB" w:rsidRPr="007C410E">
        <w:rPr>
          <w:rFonts w:ascii="Times New Roman" w:hAnsi="Times New Roman" w:cs="Times New Roman"/>
          <w:b/>
          <w:bCs/>
          <w:sz w:val="28"/>
          <w:szCs w:val="28"/>
        </w:rPr>
        <w:t xml:space="preserve">a person’s character. </w:t>
      </w:r>
    </w:p>
    <w:p w14:paraId="5C331A16" w14:textId="77777777" w:rsidR="007C410E" w:rsidRPr="007C410E" w:rsidRDefault="007C410E" w:rsidP="00BF3E9C">
      <w:pPr>
        <w:pStyle w:val="L1-2"/>
        <w:widowControl/>
        <w:tabs>
          <w:tab w:val="left" w:pos="2159"/>
          <w:tab w:val="left" w:pos="2879"/>
          <w:tab w:val="left" w:pos="3599"/>
          <w:tab w:val="left" w:pos="4319"/>
          <w:tab w:val="left" w:pos="5039"/>
          <w:tab w:val="left" w:pos="5759"/>
          <w:tab w:val="left" w:pos="6496"/>
        </w:tabs>
        <w:spacing w:line="276" w:lineRule="auto"/>
        <w:ind w:left="1260" w:right="1428" w:firstLine="25"/>
        <w:rPr>
          <w:rFonts w:ascii="Times New Roman" w:hAnsi="Times New Roman" w:cs="Times New Roman"/>
          <w:b/>
          <w:bCs/>
          <w:sz w:val="28"/>
          <w:szCs w:val="28"/>
        </w:rPr>
      </w:pPr>
    </w:p>
    <w:p w14:paraId="2F7CAB9D" w14:textId="4A7636E6" w:rsidR="00746CFB" w:rsidRPr="007C410E" w:rsidRDefault="005C312A" w:rsidP="00BF3E9C">
      <w:pPr>
        <w:pStyle w:val="L1-2"/>
        <w:widowControl/>
        <w:tabs>
          <w:tab w:val="left" w:pos="1728"/>
          <w:tab w:val="left" w:pos="2160"/>
          <w:tab w:val="left" w:pos="2880"/>
          <w:tab w:val="left" w:pos="3600"/>
          <w:tab w:val="left" w:pos="4320"/>
          <w:tab w:val="left" w:pos="5040"/>
          <w:tab w:val="left" w:pos="5760"/>
        </w:tabs>
        <w:spacing w:line="276" w:lineRule="auto"/>
        <w:ind w:left="1285" w:right="720"/>
        <w:rPr>
          <w:rFonts w:ascii="Times New Roman" w:hAnsi="Times New Roman" w:cs="Times New Roman"/>
          <w:b/>
          <w:bCs/>
          <w:sz w:val="28"/>
          <w:szCs w:val="28"/>
        </w:rPr>
      </w:pPr>
      <w:r>
        <w:rPr>
          <w:rFonts w:ascii="Times New Roman" w:hAnsi="Times New Roman" w:cs="Times New Roman"/>
          <w:b/>
          <w:bCs/>
          <w:sz w:val="28"/>
          <w:szCs w:val="28"/>
        </w:rPr>
        <w:t xml:space="preserve">(e) </w:t>
      </w:r>
      <w:r w:rsidR="00746CFB" w:rsidRPr="007C410E">
        <w:rPr>
          <w:rFonts w:ascii="Times New Roman" w:hAnsi="Times New Roman" w:cs="Times New Roman"/>
          <w:b/>
          <w:bCs/>
          <w:sz w:val="28"/>
          <w:szCs w:val="28"/>
        </w:rPr>
        <w:t>Notwithstanding subdivision (1) (a),</w:t>
      </w:r>
      <w:r w:rsidR="007C410E" w:rsidRPr="007C410E">
        <w:rPr>
          <w:rFonts w:ascii="Times New Roman" w:hAnsi="Times New Roman" w:cs="Times New Roman"/>
          <w:b/>
          <w:bCs/>
          <w:sz w:val="28"/>
          <w:szCs w:val="28"/>
        </w:rPr>
        <w:t xml:space="preserve"> </w:t>
      </w:r>
      <w:r w:rsidR="00746CFB" w:rsidRPr="007C410E">
        <w:rPr>
          <w:rFonts w:ascii="Times New Roman" w:hAnsi="Times New Roman" w:cs="Times New Roman"/>
          <w:b/>
          <w:bCs/>
          <w:sz w:val="28"/>
          <w:szCs w:val="28"/>
        </w:rPr>
        <w:t>evidence of a defendant</w:t>
      </w:r>
      <w:r w:rsidR="00413473">
        <w:rPr>
          <w:rFonts w:ascii="Times New Roman" w:hAnsi="Times New Roman" w:cs="Times New Roman"/>
          <w:b/>
          <w:bCs/>
          <w:sz w:val="28"/>
          <w:szCs w:val="28"/>
        </w:rPr>
        <w:t>’</w:t>
      </w:r>
      <w:r w:rsidR="00746CFB" w:rsidRPr="007C410E">
        <w:rPr>
          <w:rFonts w:ascii="Times New Roman" w:hAnsi="Times New Roman" w:cs="Times New Roman"/>
          <w:b/>
          <w:bCs/>
          <w:sz w:val="28"/>
          <w:szCs w:val="28"/>
        </w:rPr>
        <w:t>s bad reputation for a relevant character trait is not admissible unless the defendant first offers evidence of his or her good reputa</w:t>
      </w:r>
      <w:r w:rsidR="00E2226E" w:rsidRPr="007C410E">
        <w:rPr>
          <w:rFonts w:ascii="Times New Roman" w:hAnsi="Times New Roman" w:cs="Times New Roman"/>
          <w:b/>
          <w:bCs/>
          <w:sz w:val="28"/>
          <w:szCs w:val="28"/>
        </w:rPr>
        <w:t xml:space="preserve">tion for that character trait. </w:t>
      </w:r>
    </w:p>
    <w:p w14:paraId="5CD075E8" w14:textId="77777777" w:rsidR="00746CFB" w:rsidRPr="007C410E" w:rsidRDefault="00746CFB" w:rsidP="00BF3E9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4"/>
        </w:tabs>
        <w:spacing w:line="276" w:lineRule="auto"/>
        <w:rPr>
          <w:b/>
          <w:bCs/>
          <w:sz w:val="28"/>
          <w:szCs w:val="28"/>
        </w:rPr>
      </w:pPr>
    </w:p>
    <w:p w14:paraId="4448373F" w14:textId="77777777" w:rsidR="00746CFB" w:rsidRPr="007C410E" w:rsidRDefault="00891F04" w:rsidP="00BF3E9C">
      <w:pPr>
        <w:pStyle w:val="L1-1"/>
        <w:widowControl/>
        <w:tabs>
          <w:tab w:val="left" w:pos="720"/>
          <w:tab w:val="left" w:pos="1439"/>
          <w:tab w:val="left" w:pos="2159"/>
          <w:tab w:val="left" w:pos="2879"/>
          <w:tab w:val="left" w:pos="3599"/>
          <w:tab w:val="left" w:pos="4319"/>
          <w:tab w:val="left" w:pos="5039"/>
          <w:tab w:val="left" w:pos="5759"/>
          <w:tab w:val="left" w:pos="6479"/>
        </w:tabs>
        <w:spacing w:line="276" w:lineRule="auto"/>
        <w:ind w:left="720"/>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00746CFB" w:rsidRPr="007C410E">
        <w:rPr>
          <w:rFonts w:ascii="Times New Roman" w:hAnsi="Times New Roman" w:cs="Times New Roman"/>
          <w:b/>
          <w:bCs/>
          <w:sz w:val="28"/>
          <w:szCs w:val="28"/>
        </w:rPr>
        <w:t xml:space="preserve">Pedigree. Evidence of reputation within a family, before the controversy in issue arose, as to matters of pedigree, such as birth, death, lineage, marriage, legitimacy and relationships between and among family members, is admissible. </w:t>
      </w:r>
    </w:p>
    <w:p w14:paraId="217C504B"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ind w:left="720"/>
        <w:rPr>
          <w:b/>
          <w:bCs/>
          <w:sz w:val="28"/>
          <w:szCs w:val="28"/>
        </w:rPr>
      </w:pPr>
    </w:p>
    <w:p w14:paraId="39211002" w14:textId="77777777" w:rsidR="00E2226E" w:rsidRPr="007C410E" w:rsidRDefault="00891F04" w:rsidP="00BF3E9C">
      <w:pPr>
        <w:pStyle w:val="L1-1"/>
        <w:widowControl/>
        <w:tabs>
          <w:tab w:val="left" w:pos="720"/>
          <w:tab w:val="left" w:pos="1439"/>
          <w:tab w:val="left" w:pos="2159"/>
          <w:tab w:val="left" w:pos="2879"/>
          <w:tab w:val="left" w:pos="3599"/>
          <w:tab w:val="left" w:pos="4319"/>
          <w:tab w:val="left" w:pos="5039"/>
          <w:tab w:val="left" w:pos="5759"/>
          <w:tab w:val="left" w:pos="6479"/>
        </w:tabs>
        <w:spacing w:line="276" w:lineRule="auto"/>
        <w:ind w:left="720"/>
        <w:rPr>
          <w:rFonts w:ascii="Times New Roman" w:hAnsi="Times New Roman" w:cs="Times New Roman"/>
          <w:b/>
          <w:bCs/>
          <w:sz w:val="28"/>
          <w:szCs w:val="28"/>
        </w:rPr>
      </w:pPr>
      <w:r>
        <w:rPr>
          <w:rFonts w:ascii="Times New Roman" w:hAnsi="Times New Roman" w:cs="Times New Roman"/>
          <w:b/>
          <w:bCs/>
          <w:sz w:val="28"/>
          <w:szCs w:val="28"/>
        </w:rPr>
        <w:t xml:space="preserve">(3) </w:t>
      </w:r>
      <w:r w:rsidR="00746CFB" w:rsidRPr="007C410E">
        <w:rPr>
          <w:rFonts w:ascii="Times New Roman" w:hAnsi="Times New Roman" w:cs="Times New Roman"/>
          <w:b/>
          <w:bCs/>
          <w:sz w:val="28"/>
          <w:szCs w:val="28"/>
        </w:rPr>
        <w:t>Lands. Evidence of long-standing reputation in the relevant community as to boundaries of, or customs affecting, lands in issue, existing before the controversy arose, is admissible.</w:t>
      </w:r>
    </w:p>
    <w:p w14:paraId="446FF07F" w14:textId="77777777" w:rsidR="00115039" w:rsidRPr="007C410E" w:rsidRDefault="00115039" w:rsidP="00BF3E9C">
      <w:pPr>
        <w:pStyle w:val="L1-1"/>
        <w:widowControl/>
        <w:tabs>
          <w:tab w:val="left" w:pos="1165"/>
          <w:tab w:val="left" w:pos="1439"/>
          <w:tab w:val="left" w:pos="2159"/>
          <w:tab w:val="left" w:pos="2879"/>
          <w:tab w:val="left" w:pos="3599"/>
          <w:tab w:val="left" w:pos="4319"/>
          <w:tab w:val="left" w:pos="5039"/>
          <w:tab w:val="left" w:pos="5759"/>
          <w:tab w:val="left" w:pos="6479"/>
          <w:tab w:val="left" w:pos="7204"/>
        </w:tabs>
        <w:spacing w:line="276" w:lineRule="auto"/>
        <w:ind w:left="0" w:right="720"/>
        <w:rPr>
          <w:rFonts w:ascii="Times New Roman" w:hAnsi="Times New Roman" w:cs="Times New Roman"/>
          <w:b/>
          <w:bCs/>
          <w:sz w:val="28"/>
          <w:szCs w:val="28"/>
        </w:rPr>
      </w:pPr>
    </w:p>
    <w:p w14:paraId="156A14D3" w14:textId="77777777" w:rsidR="00746CFB" w:rsidRPr="007C410E" w:rsidRDefault="00746CFB" w:rsidP="00BF3E9C">
      <w:pPr>
        <w:pStyle w:val="L1-1"/>
        <w:widowControl/>
        <w:tabs>
          <w:tab w:val="left" w:pos="1165"/>
          <w:tab w:val="left" w:pos="1439"/>
          <w:tab w:val="left" w:pos="2159"/>
          <w:tab w:val="left" w:pos="2879"/>
          <w:tab w:val="left" w:pos="3599"/>
          <w:tab w:val="left" w:pos="4319"/>
          <w:tab w:val="left" w:pos="5039"/>
          <w:tab w:val="left" w:pos="5759"/>
          <w:tab w:val="left" w:pos="6479"/>
          <w:tab w:val="left" w:pos="7204"/>
        </w:tabs>
        <w:spacing w:line="276" w:lineRule="auto"/>
        <w:ind w:left="0" w:right="720"/>
        <w:jc w:val="center"/>
        <w:rPr>
          <w:rFonts w:ascii="Times New Roman" w:hAnsi="Times New Roman" w:cs="Times New Roman"/>
          <w:b/>
          <w:bCs/>
          <w:sz w:val="24"/>
          <w:szCs w:val="24"/>
        </w:rPr>
      </w:pPr>
      <w:r w:rsidRPr="007C410E">
        <w:rPr>
          <w:rFonts w:ascii="Times New Roman" w:hAnsi="Times New Roman" w:cs="Times New Roman"/>
          <w:b/>
          <w:bCs/>
          <w:sz w:val="24"/>
          <w:szCs w:val="24"/>
        </w:rPr>
        <w:t>Note</w:t>
      </w:r>
    </w:p>
    <w:p w14:paraId="21ADB094" w14:textId="77777777" w:rsidR="00E2226E" w:rsidRPr="007C410E" w:rsidRDefault="00E2226E" w:rsidP="00BF3E9C">
      <w:pPr>
        <w:pStyle w:val="L1-1"/>
        <w:widowControl/>
        <w:tabs>
          <w:tab w:val="left" w:pos="1165"/>
          <w:tab w:val="left" w:pos="1439"/>
          <w:tab w:val="left" w:pos="2159"/>
          <w:tab w:val="left" w:pos="2879"/>
          <w:tab w:val="left" w:pos="3599"/>
          <w:tab w:val="left" w:pos="4319"/>
          <w:tab w:val="left" w:pos="5039"/>
          <w:tab w:val="left" w:pos="5759"/>
          <w:tab w:val="left" w:pos="6479"/>
          <w:tab w:val="left" w:pos="7204"/>
        </w:tabs>
        <w:spacing w:line="276" w:lineRule="auto"/>
        <w:ind w:left="0" w:right="720"/>
        <w:jc w:val="center"/>
        <w:rPr>
          <w:rFonts w:ascii="Times New Roman" w:hAnsi="Times New Roman" w:cs="Times New Roman"/>
          <w:b/>
          <w:bCs/>
          <w:sz w:val="24"/>
          <w:szCs w:val="24"/>
        </w:rPr>
      </w:pPr>
    </w:p>
    <w:p w14:paraId="33CC6F6E" w14:textId="5C5C474F" w:rsidR="00730195" w:rsidRDefault="00F825F5" w:rsidP="00BF3E9C">
      <w:pPr>
        <w:widowControl/>
        <w:numPr>
          <w:ilvl w:val="12"/>
          <w:numId w:val="0"/>
        </w:numPr>
        <w:tabs>
          <w:tab w:val="left" w:pos="720"/>
          <w:tab w:val="left" w:pos="1442"/>
          <w:tab w:val="left" w:pos="2162"/>
          <w:tab w:val="left" w:pos="2882"/>
          <w:tab w:val="left" w:pos="3602"/>
          <w:tab w:val="left" w:pos="4322"/>
          <w:tab w:val="left" w:pos="5042"/>
          <w:tab w:val="left" w:pos="5762"/>
          <w:tab w:val="left" w:pos="6482"/>
          <w:tab w:val="left" w:pos="7202"/>
          <w:tab w:val="left" w:pos="7926"/>
        </w:tabs>
        <w:spacing w:line="276" w:lineRule="auto"/>
        <w:ind w:left="-4" w:hanging="9"/>
        <w:jc w:val="both"/>
        <w:rPr>
          <w:sz w:val="24"/>
          <w:szCs w:val="24"/>
        </w:rPr>
      </w:pPr>
      <w:r>
        <w:rPr>
          <w:b/>
          <w:bCs/>
          <w:sz w:val="24"/>
          <w:szCs w:val="24"/>
        </w:rPr>
        <w:tab/>
      </w:r>
      <w:r w:rsidR="00662936">
        <w:rPr>
          <w:b/>
          <w:bCs/>
          <w:sz w:val="24"/>
          <w:szCs w:val="24"/>
        </w:rPr>
        <w:tab/>
      </w:r>
      <w:r w:rsidR="00746CFB" w:rsidRPr="007C410E">
        <w:rPr>
          <w:b/>
          <w:bCs/>
          <w:sz w:val="24"/>
          <w:szCs w:val="24"/>
        </w:rPr>
        <w:t xml:space="preserve">Subdivision (1) (a) </w:t>
      </w:r>
      <w:r w:rsidR="00746CFB" w:rsidRPr="007C410E">
        <w:rPr>
          <w:sz w:val="24"/>
          <w:szCs w:val="24"/>
        </w:rPr>
        <w:t xml:space="preserve">is derived from Court of Appeals precedents that reputation evidence of a person’s relevant character trait when admissible </w:t>
      </w:r>
      <w:r w:rsidR="005C312A">
        <w:rPr>
          <w:sz w:val="24"/>
          <w:szCs w:val="24"/>
        </w:rPr>
        <w:t xml:space="preserve">pursuant to Guide to NY Evidence rule 4.11 </w:t>
      </w:r>
      <w:r w:rsidR="00746CFB" w:rsidRPr="007C410E">
        <w:rPr>
          <w:sz w:val="24"/>
          <w:szCs w:val="24"/>
        </w:rPr>
        <w:t>may be used for its truth. (</w:t>
      </w:r>
      <w:r w:rsidR="00746CFB" w:rsidRPr="007C410E">
        <w:rPr>
          <w:i/>
          <w:iCs/>
          <w:sz w:val="24"/>
          <w:szCs w:val="24"/>
        </w:rPr>
        <w:t>See People v Bouton</w:t>
      </w:r>
      <w:r w:rsidR="00746CFB" w:rsidRPr="00D97A29">
        <w:rPr>
          <w:sz w:val="24"/>
          <w:szCs w:val="24"/>
        </w:rPr>
        <w:t>,</w:t>
      </w:r>
      <w:r w:rsidR="00746CFB" w:rsidRPr="007C410E">
        <w:rPr>
          <w:sz w:val="24"/>
          <w:szCs w:val="24"/>
        </w:rPr>
        <w:t xml:space="preserve"> 50 NY2d 130, 139 [1980] [reputation evidence when admissible “may in and of itself give rise to a reasonable doubt of guilt where none would otherwise exist”], citing </w:t>
      </w:r>
      <w:r w:rsidR="00746CFB" w:rsidRPr="007C410E">
        <w:rPr>
          <w:i/>
          <w:iCs/>
          <w:sz w:val="24"/>
          <w:szCs w:val="24"/>
        </w:rPr>
        <w:t>People v Trimarchi</w:t>
      </w:r>
      <w:r w:rsidR="00746CFB" w:rsidRPr="007C410E">
        <w:rPr>
          <w:sz w:val="24"/>
          <w:szCs w:val="24"/>
        </w:rPr>
        <w:t xml:space="preserve">, 231 NY 263, 266 [1921]; </w:t>
      </w:r>
      <w:r w:rsidR="00746CFB" w:rsidRPr="007C410E">
        <w:rPr>
          <w:i/>
          <w:iCs/>
          <w:sz w:val="24"/>
          <w:szCs w:val="24"/>
        </w:rPr>
        <w:t>People v Colantone</w:t>
      </w:r>
      <w:r w:rsidR="00746CFB" w:rsidRPr="007C410E">
        <w:rPr>
          <w:sz w:val="24"/>
          <w:szCs w:val="24"/>
        </w:rPr>
        <w:t>, 243 NY 134, 136 [1926] [“This court has frequently stated that evidence of good character is a matter of substance, not of form, in criminal cases, and must be considered by the jury as bearing upon the issue of guilt”]</w:t>
      </w:r>
      <w:r w:rsidR="00730195">
        <w:rPr>
          <w:sz w:val="24"/>
          <w:szCs w:val="24"/>
        </w:rPr>
        <w:t>.</w:t>
      </w:r>
      <w:r w:rsidR="00BB46B3">
        <w:rPr>
          <w:sz w:val="24"/>
          <w:szCs w:val="24"/>
        </w:rPr>
        <w:t>)</w:t>
      </w:r>
    </w:p>
    <w:p w14:paraId="3A9CA9FF" w14:textId="77777777" w:rsidR="00730195" w:rsidRDefault="00730195" w:rsidP="00BF3E9C">
      <w:pPr>
        <w:widowControl/>
        <w:numPr>
          <w:ilvl w:val="12"/>
          <w:numId w:val="0"/>
        </w:numPr>
        <w:tabs>
          <w:tab w:val="left" w:pos="720"/>
          <w:tab w:val="left" w:pos="1442"/>
          <w:tab w:val="left" w:pos="2162"/>
          <w:tab w:val="left" w:pos="2882"/>
          <w:tab w:val="left" w:pos="3602"/>
          <w:tab w:val="left" w:pos="4322"/>
          <w:tab w:val="left" w:pos="5042"/>
          <w:tab w:val="left" w:pos="5762"/>
          <w:tab w:val="left" w:pos="6482"/>
          <w:tab w:val="left" w:pos="7202"/>
          <w:tab w:val="left" w:pos="7926"/>
        </w:tabs>
        <w:spacing w:line="276" w:lineRule="auto"/>
        <w:ind w:left="-4" w:hanging="9"/>
        <w:jc w:val="both"/>
        <w:rPr>
          <w:sz w:val="24"/>
          <w:szCs w:val="24"/>
        </w:rPr>
      </w:pPr>
    </w:p>
    <w:p w14:paraId="1F5BF403" w14:textId="199A8E4A" w:rsidR="00746CFB" w:rsidRPr="007C410E" w:rsidRDefault="00730195" w:rsidP="00BF3E9C">
      <w:pPr>
        <w:widowControl/>
        <w:numPr>
          <w:ilvl w:val="12"/>
          <w:numId w:val="0"/>
        </w:numPr>
        <w:tabs>
          <w:tab w:val="left" w:pos="720"/>
          <w:tab w:val="left" w:pos="1442"/>
          <w:tab w:val="left" w:pos="2162"/>
          <w:tab w:val="left" w:pos="2882"/>
          <w:tab w:val="left" w:pos="3602"/>
          <w:tab w:val="left" w:pos="4322"/>
          <w:tab w:val="left" w:pos="5042"/>
          <w:tab w:val="left" w:pos="5762"/>
          <w:tab w:val="left" w:pos="6482"/>
          <w:tab w:val="left" w:pos="7202"/>
          <w:tab w:val="left" w:pos="7926"/>
        </w:tabs>
        <w:spacing w:line="276" w:lineRule="auto"/>
        <w:ind w:left="-4" w:hanging="9"/>
        <w:jc w:val="both"/>
        <w:rPr>
          <w:sz w:val="24"/>
          <w:szCs w:val="24"/>
        </w:rPr>
      </w:pPr>
      <w:r>
        <w:rPr>
          <w:sz w:val="24"/>
          <w:szCs w:val="24"/>
        </w:rPr>
        <w:tab/>
      </w:r>
      <w:r>
        <w:rPr>
          <w:sz w:val="24"/>
          <w:szCs w:val="24"/>
        </w:rPr>
        <w:tab/>
      </w:r>
      <w:r w:rsidR="00F54A30">
        <w:rPr>
          <w:sz w:val="24"/>
          <w:szCs w:val="24"/>
        </w:rPr>
        <w:t xml:space="preserve">For the rule on impeachment </w:t>
      </w:r>
      <w:r w:rsidR="009B26A3">
        <w:rPr>
          <w:sz w:val="24"/>
          <w:szCs w:val="24"/>
        </w:rPr>
        <w:t xml:space="preserve">of a witness </w:t>
      </w:r>
      <w:r w:rsidR="00E40352">
        <w:rPr>
          <w:sz w:val="24"/>
          <w:szCs w:val="24"/>
        </w:rPr>
        <w:t xml:space="preserve">by </w:t>
      </w:r>
      <w:r w:rsidR="001A7573">
        <w:rPr>
          <w:sz w:val="24"/>
          <w:szCs w:val="24"/>
        </w:rPr>
        <w:t xml:space="preserve">reputation </w:t>
      </w:r>
      <w:r w:rsidR="00E40352">
        <w:rPr>
          <w:sz w:val="24"/>
          <w:szCs w:val="24"/>
        </w:rPr>
        <w:t xml:space="preserve">evidence </w:t>
      </w:r>
      <w:r w:rsidR="004732CD">
        <w:rPr>
          <w:sz w:val="24"/>
          <w:szCs w:val="24"/>
        </w:rPr>
        <w:t>for</w:t>
      </w:r>
      <w:r w:rsidR="009B26A3">
        <w:rPr>
          <w:sz w:val="24"/>
          <w:szCs w:val="24"/>
        </w:rPr>
        <w:t xml:space="preserve"> untruthfulness</w:t>
      </w:r>
      <w:r w:rsidR="00BB46B3">
        <w:rPr>
          <w:sz w:val="24"/>
          <w:szCs w:val="24"/>
        </w:rPr>
        <w:t xml:space="preserve">, </w:t>
      </w:r>
      <w:r w:rsidR="009B26A3">
        <w:rPr>
          <w:sz w:val="24"/>
          <w:szCs w:val="24"/>
        </w:rPr>
        <w:t xml:space="preserve">and </w:t>
      </w:r>
      <w:r w:rsidR="002575DF">
        <w:rPr>
          <w:sz w:val="24"/>
          <w:szCs w:val="24"/>
        </w:rPr>
        <w:t xml:space="preserve">rebuttal </w:t>
      </w:r>
      <w:r w:rsidR="00C641E1">
        <w:rPr>
          <w:sz w:val="24"/>
          <w:szCs w:val="24"/>
        </w:rPr>
        <w:t>by</w:t>
      </w:r>
      <w:r w:rsidR="002575DF">
        <w:rPr>
          <w:sz w:val="24"/>
          <w:szCs w:val="24"/>
        </w:rPr>
        <w:t xml:space="preserve"> reputation </w:t>
      </w:r>
      <w:r w:rsidR="00E40352">
        <w:rPr>
          <w:sz w:val="24"/>
          <w:szCs w:val="24"/>
        </w:rPr>
        <w:t xml:space="preserve">evidence </w:t>
      </w:r>
      <w:r w:rsidR="002575DF">
        <w:rPr>
          <w:sz w:val="24"/>
          <w:szCs w:val="24"/>
        </w:rPr>
        <w:t>for truthfulness</w:t>
      </w:r>
      <w:r w:rsidR="004049AB">
        <w:rPr>
          <w:sz w:val="24"/>
          <w:szCs w:val="24"/>
        </w:rPr>
        <w:t>,</w:t>
      </w:r>
      <w:r w:rsidR="002575DF">
        <w:rPr>
          <w:sz w:val="24"/>
          <w:szCs w:val="24"/>
        </w:rPr>
        <w:t xml:space="preserve"> see</w:t>
      </w:r>
      <w:r w:rsidR="000B7E35">
        <w:rPr>
          <w:sz w:val="24"/>
          <w:szCs w:val="24"/>
        </w:rPr>
        <w:t xml:space="preserve"> Guide to NY Evidence rule 6.23 [Impeachment by reputation</w:t>
      </w:r>
      <w:r w:rsidR="00E32170">
        <w:rPr>
          <w:sz w:val="24"/>
          <w:szCs w:val="24"/>
        </w:rPr>
        <w:t xml:space="preserve"> for untruthfulness and rebuttal</w:t>
      </w:r>
      <w:r w:rsidR="004073E3">
        <w:rPr>
          <w:sz w:val="24"/>
          <w:szCs w:val="24"/>
        </w:rPr>
        <w:t>]</w:t>
      </w:r>
      <w:r w:rsidR="00746CFB" w:rsidRPr="007C410E">
        <w:rPr>
          <w:sz w:val="24"/>
          <w:szCs w:val="24"/>
        </w:rPr>
        <w:t>.</w:t>
      </w:r>
    </w:p>
    <w:p w14:paraId="25ACCD31"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sz w:val="24"/>
          <w:szCs w:val="24"/>
        </w:rPr>
      </w:pPr>
    </w:p>
    <w:p w14:paraId="714889D2" w14:textId="77777777" w:rsidR="00746CFB" w:rsidRPr="007C410E" w:rsidRDefault="00662936" w:rsidP="00BF3E9C">
      <w:pPr>
        <w:widowControl/>
        <w:numPr>
          <w:ilvl w:val="12"/>
          <w:numId w:val="0"/>
        </w:numPr>
        <w:tabs>
          <w:tab w:val="left" w:pos="720"/>
          <w:tab w:val="left" w:pos="1442"/>
          <w:tab w:val="left" w:pos="2162"/>
          <w:tab w:val="left" w:pos="2882"/>
          <w:tab w:val="left" w:pos="3602"/>
          <w:tab w:val="left" w:pos="4322"/>
          <w:tab w:val="left" w:pos="5042"/>
          <w:tab w:val="left" w:pos="5762"/>
          <w:tab w:val="left" w:pos="6482"/>
          <w:tab w:val="left" w:pos="7202"/>
          <w:tab w:val="left" w:pos="7926"/>
        </w:tabs>
        <w:spacing w:line="276" w:lineRule="auto"/>
        <w:ind w:left="-4" w:hanging="9"/>
        <w:jc w:val="both"/>
        <w:rPr>
          <w:sz w:val="24"/>
          <w:szCs w:val="24"/>
        </w:rPr>
      </w:pPr>
      <w:r>
        <w:rPr>
          <w:b/>
          <w:bCs/>
          <w:sz w:val="24"/>
          <w:szCs w:val="24"/>
        </w:rPr>
        <w:tab/>
      </w:r>
      <w:r w:rsidR="007C410E">
        <w:rPr>
          <w:b/>
          <w:bCs/>
          <w:sz w:val="24"/>
          <w:szCs w:val="24"/>
        </w:rPr>
        <w:tab/>
      </w:r>
      <w:r w:rsidR="00746CFB" w:rsidRPr="007C410E">
        <w:rPr>
          <w:b/>
          <w:bCs/>
          <w:sz w:val="24"/>
          <w:szCs w:val="24"/>
        </w:rPr>
        <w:t>Subdivision (1) (b</w:t>
      </w:r>
      <w:r w:rsidR="00746CFB" w:rsidRPr="007C410E">
        <w:rPr>
          <w:sz w:val="24"/>
          <w:szCs w:val="24"/>
        </w:rPr>
        <w:t xml:space="preserve">) is derived from </w:t>
      </w:r>
      <w:r w:rsidR="00746CFB" w:rsidRPr="007C410E">
        <w:rPr>
          <w:i/>
          <w:iCs/>
          <w:sz w:val="24"/>
          <w:szCs w:val="24"/>
        </w:rPr>
        <w:t>People v Fernandez</w:t>
      </w:r>
      <w:r w:rsidR="00746CFB" w:rsidRPr="007C410E">
        <w:rPr>
          <w:sz w:val="24"/>
          <w:szCs w:val="24"/>
        </w:rPr>
        <w:t xml:space="preserve"> (17 NY3d 70, 76 [2011]) wherein the Court of Appeals noted: </w:t>
      </w:r>
    </w:p>
    <w:p w14:paraId="06DC1FE6"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sz w:val="24"/>
          <w:szCs w:val="24"/>
        </w:rPr>
      </w:pPr>
    </w:p>
    <w:p w14:paraId="45C06F87" w14:textId="77777777" w:rsidR="00746CFB" w:rsidRPr="007C410E" w:rsidRDefault="00746CFB" w:rsidP="00BF3E9C">
      <w:pPr>
        <w:widowControl/>
        <w:numPr>
          <w:ilvl w:val="12"/>
          <w:numId w:val="0"/>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491"/>
          <w:tab w:val="left" w:pos="8640"/>
        </w:tabs>
        <w:spacing w:line="276" w:lineRule="auto"/>
        <w:ind w:left="720" w:right="720"/>
        <w:jc w:val="both"/>
        <w:rPr>
          <w:color w:val="212121"/>
          <w:sz w:val="24"/>
          <w:szCs w:val="24"/>
        </w:rPr>
      </w:pPr>
      <w:r w:rsidRPr="007C410E">
        <w:rPr>
          <w:sz w:val="24"/>
          <w:szCs w:val="24"/>
        </w:rPr>
        <w:t xml:space="preserve">“[W]e </w:t>
      </w:r>
      <w:r w:rsidRPr="007C410E">
        <w:rPr>
          <w:color w:val="212121"/>
          <w:sz w:val="24"/>
          <w:szCs w:val="24"/>
        </w:rPr>
        <w:t xml:space="preserve">rejected [in </w:t>
      </w:r>
      <w:r w:rsidRPr="007C410E">
        <w:rPr>
          <w:i/>
          <w:iCs/>
          <w:color w:val="212121"/>
          <w:sz w:val="24"/>
          <w:szCs w:val="24"/>
        </w:rPr>
        <w:t>People v Bouton</w:t>
      </w:r>
      <w:r w:rsidRPr="00D97A29">
        <w:rPr>
          <w:iCs/>
          <w:color w:val="212121"/>
          <w:sz w:val="24"/>
          <w:szCs w:val="24"/>
        </w:rPr>
        <w:t>]</w:t>
      </w:r>
      <w:r w:rsidRPr="007C410E">
        <w:rPr>
          <w:color w:val="212121"/>
          <w:sz w:val="24"/>
          <w:szCs w:val="24"/>
        </w:rPr>
        <w:t xml:space="preserve"> the notion that one</w:t>
      </w:r>
      <w:r w:rsidR="00B76F47">
        <w:rPr>
          <w:color w:val="212121"/>
          <w:sz w:val="24"/>
          <w:szCs w:val="24"/>
        </w:rPr>
        <w:t>’</w:t>
      </w:r>
      <w:r w:rsidRPr="007C410E">
        <w:rPr>
          <w:color w:val="212121"/>
          <w:sz w:val="24"/>
          <w:szCs w:val="24"/>
        </w:rPr>
        <w:t>s community was restricted to ‘one</w:t>
      </w:r>
      <w:r w:rsidR="00B76F47">
        <w:rPr>
          <w:color w:val="212121"/>
          <w:sz w:val="24"/>
          <w:szCs w:val="24"/>
        </w:rPr>
        <w:t>’</w:t>
      </w:r>
      <w:r w:rsidRPr="007C410E">
        <w:rPr>
          <w:color w:val="212121"/>
          <w:sz w:val="24"/>
          <w:szCs w:val="24"/>
        </w:rPr>
        <w:t xml:space="preserve">s residential neighborhood.’ Rather, we observed that ‘[a] reputation may grow </w:t>
      </w:r>
      <w:r w:rsidRPr="007C410E">
        <w:rPr>
          <w:i/>
          <w:iCs/>
          <w:color w:val="212121"/>
          <w:sz w:val="24"/>
          <w:szCs w:val="24"/>
        </w:rPr>
        <w:t>wherever</w:t>
      </w:r>
      <w:r w:rsidR="00413473">
        <w:rPr>
          <w:color w:val="212121"/>
          <w:sz w:val="24"/>
          <w:szCs w:val="24"/>
        </w:rPr>
        <w:t xml:space="preserve"> an individual’</w:t>
      </w:r>
      <w:r w:rsidRPr="007C410E">
        <w:rPr>
          <w:color w:val="212121"/>
          <w:sz w:val="24"/>
          <w:szCs w:val="24"/>
        </w:rPr>
        <w:t xml:space="preserve">s associations are of such quantity and quality as to </w:t>
      </w:r>
      <w:r w:rsidR="00B76F47">
        <w:rPr>
          <w:color w:val="212121"/>
          <w:sz w:val="24"/>
          <w:szCs w:val="24"/>
        </w:rPr>
        <w:t>‘</w:t>
      </w:r>
      <w:r w:rsidRPr="007C410E">
        <w:rPr>
          <w:color w:val="212121"/>
          <w:sz w:val="24"/>
          <w:szCs w:val="24"/>
        </w:rPr>
        <w:t>permit him to be personally observed by a sufficient number of individuals to give reasonable assurance of reliability</w:t>
      </w:r>
      <w:r w:rsidR="00B76F47">
        <w:rPr>
          <w:color w:val="212121"/>
          <w:sz w:val="24"/>
          <w:szCs w:val="24"/>
        </w:rPr>
        <w:t>’ ”</w:t>
      </w:r>
      <w:r w:rsidRPr="007C410E">
        <w:rPr>
          <w:color w:val="212121"/>
          <w:sz w:val="24"/>
          <w:szCs w:val="24"/>
        </w:rPr>
        <w:t xml:space="preserve">  (citations omitted). </w:t>
      </w:r>
    </w:p>
    <w:p w14:paraId="028377FF"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color w:val="212121"/>
          <w:sz w:val="24"/>
          <w:szCs w:val="24"/>
        </w:rPr>
      </w:pPr>
    </w:p>
    <w:p w14:paraId="089F1EF9" w14:textId="77777777" w:rsidR="00746CFB" w:rsidRPr="007C410E" w:rsidRDefault="00746CFB" w:rsidP="00BF3E9C">
      <w:pPr>
        <w:widowControl/>
        <w:numPr>
          <w:ilvl w:val="12"/>
          <w:numId w:val="0"/>
        </w:numPr>
        <w:tabs>
          <w:tab w:val="left" w:pos="2"/>
          <w:tab w:val="left" w:pos="722"/>
          <w:tab w:val="left" w:pos="1442"/>
          <w:tab w:val="left" w:pos="2162"/>
          <w:tab w:val="left" w:pos="2882"/>
          <w:tab w:val="left" w:pos="3602"/>
          <w:tab w:val="left" w:pos="4322"/>
          <w:tab w:val="left" w:pos="5042"/>
          <w:tab w:val="left" w:pos="5762"/>
          <w:tab w:val="left" w:pos="6482"/>
          <w:tab w:val="left" w:pos="7202"/>
          <w:tab w:val="left" w:pos="7926"/>
        </w:tabs>
        <w:spacing w:line="276" w:lineRule="auto"/>
        <w:ind w:left="-4" w:hanging="9"/>
        <w:jc w:val="both"/>
        <w:rPr>
          <w:sz w:val="24"/>
          <w:szCs w:val="24"/>
        </w:rPr>
      </w:pPr>
      <w:r w:rsidRPr="007C410E">
        <w:rPr>
          <w:color w:val="212121"/>
          <w:sz w:val="24"/>
          <w:szCs w:val="24"/>
        </w:rPr>
        <w:lastRenderedPageBreak/>
        <w:t>In</w:t>
      </w:r>
      <w:r w:rsidRPr="007C410E">
        <w:rPr>
          <w:i/>
          <w:iCs/>
          <w:color w:val="212121"/>
          <w:sz w:val="24"/>
          <w:szCs w:val="24"/>
        </w:rPr>
        <w:t xml:space="preserve"> People v </w:t>
      </w:r>
      <w:r w:rsidRPr="007C410E">
        <w:rPr>
          <w:i/>
          <w:iCs/>
          <w:sz w:val="24"/>
          <w:szCs w:val="24"/>
        </w:rPr>
        <w:t>Bouton</w:t>
      </w:r>
      <w:r w:rsidRPr="007C410E">
        <w:rPr>
          <w:sz w:val="24"/>
          <w:szCs w:val="24"/>
        </w:rPr>
        <w:t xml:space="preserve"> (50 NY2d at 139), the Court had observed that a person “might be better known in the community of his employment and in the circle of his vocational fellows, where opportunities to evidence the traits at stake may occur with greater frequency than in the environs of his dwelling place, nestled in the anonymity of a large city or suburb.” </w:t>
      </w:r>
    </w:p>
    <w:p w14:paraId="5B73E5D0"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sz w:val="24"/>
          <w:szCs w:val="24"/>
        </w:rPr>
      </w:pPr>
    </w:p>
    <w:p w14:paraId="0844459B" w14:textId="77777777" w:rsidR="00746CFB" w:rsidRPr="007C410E" w:rsidRDefault="00662936" w:rsidP="00BF3E9C">
      <w:pPr>
        <w:widowControl/>
        <w:numPr>
          <w:ilvl w:val="12"/>
          <w:numId w:val="0"/>
        </w:numPr>
        <w:tabs>
          <w:tab w:val="left" w:pos="720"/>
          <w:tab w:val="left" w:pos="1442"/>
          <w:tab w:val="left" w:pos="2162"/>
          <w:tab w:val="left" w:pos="2882"/>
          <w:tab w:val="left" w:pos="3602"/>
          <w:tab w:val="left" w:pos="4322"/>
          <w:tab w:val="left" w:pos="5042"/>
          <w:tab w:val="left" w:pos="5762"/>
          <w:tab w:val="left" w:pos="6482"/>
          <w:tab w:val="left" w:pos="7202"/>
          <w:tab w:val="left" w:pos="7926"/>
        </w:tabs>
        <w:spacing w:line="276" w:lineRule="auto"/>
        <w:ind w:left="-4" w:hanging="9"/>
        <w:jc w:val="both"/>
        <w:rPr>
          <w:sz w:val="24"/>
          <w:szCs w:val="24"/>
        </w:rPr>
      </w:pPr>
      <w:r>
        <w:rPr>
          <w:b/>
          <w:bCs/>
          <w:sz w:val="24"/>
          <w:szCs w:val="24"/>
        </w:rPr>
        <w:tab/>
      </w:r>
      <w:r w:rsidR="007C410E">
        <w:rPr>
          <w:b/>
          <w:bCs/>
          <w:sz w:val="24"/>
          <w:szCs w:val="24"/>
        </w:rPr>
        <w:tab/>
      </w:r>
      <w:r w:rsidR="00746CFB" w:rsidRPr="007C410E">
        <w:rPr>
          <w:b/>
          <w:bCs/>
          <w:sz w:val="24"/>
          <w:szCs w:val="24"/>
        </w:rPr>
        <w:t>Subdivision (1) (c</w:t>
      </w:r>
      <w:r w:rsidR="00746CFB" w:rsidRPr="007C410E">
        <w:rPr>
          <w:sz w:val="24"/>
          <w:szCs w:val="24"/>
        </w:rPr>
        <w:t xml:space="preserve">) is derived from </w:t>
      </w:r>
      <w:r w:rsidR="00746CFB" w:rsidRPr="007C410E">
        <w:rPr>
          <w:i/>
          <w:iCs/>
          <w:sz w:val="24"/>
          <w:szCs w:val="24"/>
        </w:rPr>
        <w:t>People v</w:t>
      </w:r>
      <w:r w:rsidR="00746CFB" w:rsidRPr="007C410E">
        <w:rPr>
          <w:sz w:val="24"/>
          <w:szCs w:val="24"/>
        </w:rPr>
        <w:t xml:space="preserve"> </w:t>
      </w:r>
      <w:r w:rsidR="00746CFB" w:rsidRPr="007C410E">
        <w:rPr>
          <w:i/>
          <w:iCs/>
          <w:sz w:val="24"/>
          <w:szCs w:val="24"/>
        </w:rPr>
        <w:t>Fernandez</w:t>
      </w:r>
      <w:r w:rsidR="00746CFB" w:rsidRPr="007C410E">
        <w:rPr>
          <w:sz w:val="24"/>
          <w:szCs w:val="24"/>
        </w:rPr>
        <w:t xml:space="preserve"> (17 NY3d at 77 [a proper foundation is laid when a witness reports “views of a sufficient number of people” who have had “sufficient experience” with the person in question]) and </w:t>
      </w:r>
      <w:r w:rsidR="00746CFB" w:rsidRPr="007C410E">
        <w:rPr>
          <w:i/>
          <w:iCs/>
          <w:sz w:val="24"/>
          <w:szCs w:val="24"/>
        </w:rPr>
        <w:t>People v Hanley</w:t>
      </w:r>
      <w:r w:rsidR="00746CFB" w:rsidRPr="007C410E">
        <w:rPr>
          <w:sz w:val="24"/>
          <w:szCs w:val="24"/>
        </w:rPr>
        <w:t xml:space="preserve"> (5 NY3d 108, 113-114 [2005] [a proper foundation was laid when the witness “worked in a close setting with (the person) and regularly interacted and communicated with the same group of people”]). </w:t>
      </w:r>
    </w:p>
    <w:p w14:paraId="3E2F08D3"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sz w:val="24"/>
          <w:szCs w:val="24"/>
        </w:rPr>
      </w:pPr>
    </w:p>
    <w:p w14:paraId="2D72655D" w14:textId="77777777" w:rsidR="00746CFB" w:rsidRPr="007C410E" w:rsidRDefault="007C410E" w:rsidP="00BF3E9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3"/>
        </w:tabs>
        <w:spacing w:line="276" w:lineRule="auto"/>
        <w:jc w:val="both"/>
        <w:rPr>
          <w:color w:val="212121"/>
          <w:sz w:val="24"/>
          <w:szCs w:val="24"/>
        </w:rPr>
      </w:pPr>
      <w:r>
        <w:rPr>
          <w:b/>
          <w:bCs/>
          <w:sz w:val="24"/>
          <w:szCs w:val="24"/>
        </w:rPr>
        <w:tab/>
      </w:r>
      <w:r w:rsidR="00746CFB" w:rsidRPr="007C410E">
        <w:rPr>
          <w:b/>
          <w:bCs/>
          <w:sz w:val="24"/>
          <w:szCs w:val="24"/>
        </w:rPr>
        <w:t xml:space="preserve">Subdivision (1) (d) and (e) </w:t>
      </w:r>
      <w:r w:rsidR="00746CFB" w:rsidRPr="007C410E">
        <w:rPr>
          <w:sz w:val="24"/>
          <w:szCs w:val="24"/>
        </w:rPr>
        <w:t xml:space="preserve">reflect the Court of Appeals statement in </w:t>
      </w:r>
      <w:r w:rsidR="00746CFB" w:rsidRPr="007C410E">
        <w:rPr>
          <w:i/>
          <w:iCs/>
          <w:sz w:val="24"/>
          <w:szCs w:val="24"/>
        </w:rPr>
        <w:t>People v Kuss</w:t>
      </w:r>
      <w:r w:rsidR="00746CFB" w:rsidRPr="007C410E">
        <w:rPr>
          <w:sz w:val="24"/>
          <w:szCs w:val="24"/>
        </w:rPr>
        <w:t xml:space="preserve"> (32 NY2d 436, 443 [1973]) that “[w]hether the defendant</w:t>
      </w:r>
      <w:r w:rsidR="00413473">
        <w:rPr>
          <w:sz w:val="24"/>
          <w:szCs w:val="24"/>
        </w:rPr>
        <w:t>’</w:t>
      </w:r>
      <w:r w:rsidR="00746CFB" w:rsidRPr="007C410E">
        <w:rPr>
          <w:sz w:val="24"/>
          <w:szCs w:val="24"/>
        </w:rPr>
        <w:t>s character will become an issue in the trial is the defendant</w:t>
      </w:r>
      <w:r w:rsidR="00413473">
        <w:rPr>
          <w:sz w:val="24"/>
          <w:szCs w:val="24"/>
        </w:rPr>
        <w:t>’</w:t>
      </w:r>
      <w:r w:rsidR="00746CFB" w:rsidRPr="007C410E">
        <w:rPr>
          <w:sz w:val="24"/>
          <w:szCs w:val="24"/>
        </w:rPr>
        <w:t>s option, for until he introduces evidence of good character the People are precluded from showing that it is otherwise. And although character is the issue (i.e., the unlikelihood of the defendant</w:t>
      </w:r>
      <w:r w:rsidR="00413473">
        <w:rPr>
          <w:sz w:val="24"/>
          <w:szCs w:val="24"/>
        </w:rPr>
        <w:t>’</w:t>
      </w:r>
      <w:r w:rsidR="00746CFB" w:rsidRPr="007C410E">
        <w:rPr>
          <w:sz w:val="24"/>
          <w:szCs w:val="24"/>
        </w:rPr>
        <w:t>s committing the crime), reputation is the only proof which the law allows. Neither the defendant nor the prosecutor may introduce evidence of particular acts tending to prove or rebut the defendant</w:t>
      </w:r>
      <w:r w:rsidR="00413473">
        <w:rPr>
          <w:sz w:val="24"/>
          <w:szCs w:val="24"/>
        </w:rPr>
        <w:t>’</w:t>
      </w:r>
      <w:r w:rsidR="00746CFB" w:rsidRPr="007C410E">
        <w:rPr>
          <w:sz w:val="24"/>
          <w:szCs w:val="24"/>
        </w:rPr>
        <w:t>s good character</w:t>
      </w:r>
      <w:r w:rsidR="00413473">
        <w:rPr>
          <w:sz w:val="24"/>
          <w:szCs w:val="24"/>
        </w:rPr>
        <w:t>”</w:t>
      </w:r>
      <w:r w:rsidR="00746CFB" w:rsidRPr="007C410E">
        <w:rPr>
          <w:sz w:val="24"/>
          <w:szCs w:val="24"/>
        </w:rPr>
        <w:t xml:space="preserve"> (citations omitted). (</w:t>
      </w:r>
      <w:r w:rsidR="00746CFB" w:rsidRPr="007C410E">
        <w:rPr>
          <w:i/>
          <w:iCs/>
          <w:sz w:val="24"/>
          <w:szCs w:val="24"/>
        </w:rPr>
        <w:t>See also</w:t>
      </w:r>
      <w:r w:rsidR="00746CFB" w:rsidRPr="007C410E">
        <w:rPr>
          <w:sz w:val="24"/>
          <w:szCs w:val="24"/>
        </w:rPr>
        <w:t xml:space="preserve"> </w:t>
      </w:r>
      <w:r w:rsidR="00746CFB" w:rsidRPr="007C410E">
        <w:rPr>
          <w:i/>
          <w:iCs/>
          <w:sz w:val="24"/>
          <w:szCs w:val="24"/>
        </w:rPr>
        <w:t>People v Bouton</w:t>
      </w:r>
      <w:r w:rsidR="00746CFB" w:rsidRPr="007C410E">
        <w:rPr>
          <w:sz w:val="24"/>
          <w:szCs w:val="24"/>
        </w:rPr>
        <w:t xml:space="preserve">, 50 NY2d at 139 [wherein the Court stated that </w:t>
      </w:r>
      <w:r w:rsidR="00746CFB" w:rsidRPr="007C410E">
        <w:rPr>
          <w:color w:val="212121"/>
          <w:sz w:val="24"/>
          <w:szCs w:val="24"/>
        </w:rPr>
        <w:t>reputation is “the aggregate tenor of what others say or do not say about him</w:t>
      </w:r>
      <w:r w:rsidR="00413473">
        <w:rPr>
          <w:color w:val="212121"/>
          <w:sz w:val="24"/>
          <w:szCs w:val="24"/>
        </w:rPr>
        <w:t>”</w:t>
      </w:r>
      <w:r w:rsidR="00746CFB" w:rsidRPr="007C410E">
        <w:rPr>
          <w:color w:val="212121"/>
          <w:sz w:val="24"/>
          <w:szCs w:val="24"/>
        </w:rPr>
        <w:t xml:space="preserve"> and “is the raw material from which that character may be established”].) </w:t>
      </w:r>
    </w:p>
    <w:p w14:paraId="18A76B0B"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iCs/>
          <w:color w:val="212121"/>
          <w:sz w:val="24"/>
          <w:szCs w:val="24"/>
        </w:rPr>
      </w:pPr>
    </w:p>
    <w:p w14:paraId="69C238B2" w14:textId="77777777" w:rsidR="00746CFB" w:rsidRPr="007C410E" w:rsidRDefault="007C410E" w:rsidP="000B7E35">
      <w:pPr>
        <w:widowControl/>
        <w:numPr>
          <w:ilvl w:val="12"/>
          <w:numId w:val="0"/>
        </w:numPr>
        <w:tabs>
          <w:tab w:val="left" w:pos="722"/>
          <w:tab w:val="left" w:pos="1442"/>
          <w:tab w:val="left" w:pos="2162"/>
          <w:tab w:val="left" w:pos="2882"/>
          <w:tab w:val="left" w:pos="3602"/>
          <w:tab w:val="left" w:pos="4322"/>
          <w:tab w:val="left" w:pos="5042"/>
          <w:tab w:val="left" w:pos="5762"/>
          <w:tab w:val="left" w:pos="6482"/>
          <w:tab w:val="left" w:pos="7202"/>
          <w:tab w:val="left" w:pos="7926"/>
        </w:tabs>
        <w:spacing w:line="276" w:lineRule="auto"/>
        <w:ind w:right="2"/>
        <w:jc w:val="both"/>
        <w:rPr>
          <w:sz w:val="24"/>
          <w:szCs w:val="24"/>
        </w:rPr>
      </w:pPr>
      <w:r>
        <w:rPr>
          <w:b/>
          <w:bCs/>
          <w:sz w:val="24"/>
          <w:szCs w:val="24"/>
        </w:rPr>
        <w:tab/>
      </w:r>
      <w:r w:rsidR="00746CFB" w:rsidRPr="007C410E">
        <w:rPr>
          <w:b/>
          <w:bCs/>
          <w:sz w:val="24"/>
          <w:szCs w:val="24"/>
        </w:rPr>
        <w:t>Subdivision (2</w:t>
      </w:r>
      <w:r w:rsidR="00746CFB" w:rsidRPr="007C410E">
        <w:rPr>
          <w:sz w:val="24"/>
          <w:szCs w:val="24"/>
        </w:rPr>
        <w:t xml:space="preserve">) is derived from </w:t>
      </w:r>
      <w:r w:rsidR="00746CFB" w:rsidRPr="007C410E">
        <w:rPr>
          <w:i/>
          <w:iCs/>
          <w:sz w:val="24"/>
          <w:szCs w:val="24"/>
        </w:rPr>
        <w:t>Badger v Badger</w:t>
      </w:r>
      <w:r w:rsidR="00115039">
        <w:rPr>
          <w:sz w:val="24"/>
          <w:szCs w:val="24"/>
        </w:rPr>
        <w:t xml:space="preserve"> (88 NY 546, 556 </w:t>
      </w:r>
      <w:r w:rsidR="00746CFB" w:rsidRPr="007C410E">
        <w:rPr>
          <w:sz w:val="24"/>
          <w:szCs w:val="24"/>
        </w:rPr>
        <w:t xml:space="preserve">[1882] [the application of reputation evidence “to cases of pedigree . . . is justified by difficulties of proof, and </w:t>
      </w:r>
      <w:r w:rsidR="00F91F64">
        <w:rPr>
          <w:sz w:val="24"/>
          <w:szCs w:val="24"/>
        </w:rPr>
        <w:t>(</w:t>
      </w:r>
      <w:r w:rsidR="00746CFB" w:rsidRPr="007C410E">
        <w:rPr>
          <w:sz w:val="24"/>
          <w:szCs w:val="24"/>
        </w:rPr>
        <w:t>is</w:t>
      </w:r>
      <w:r w:rsidR="00F91F64">
        <w:rPr>
          <w:sz w:val="24"/>
          <w:szCs w:val="24"/>
        </w:rPr>
        <w:t>)</w:t>
      </w:r>
      <w:r w:rsidR="00746CFB" w:rsidRPr="007C410E">
        <w:rPr>
          <w:sz w:val="24"/>
          <w:szCs w:val="24"/>
        </w:rPr>
        <w:t xml:space="preserve"> confined generally to the family and relatives whose knowledge is assumed, and who have spoken before a controversy arisen”]) and </w:t>
      </w:r>
      <w:r w:rsidR="00746CFB" w:rsidRPr="007C410E">
        <w:rPr>
          <w:i/>
          <w:iCs/>
          <w:sz w:val="24"/>
          <w:szCs w:val="24"/>
        </w:rPr>
        <w:t>McKinnon v Bliss</w:t>
      </w:r>
      <w:r w:rsidR="00746CFB" w:rsidRPr="007C410E">
        <w:rPr>
          <w:sz w:val="24"/>
          <w:szCs w:val="24"/>
        </w:rPr>
        <w:t xml:space="preserve"> (21 NY 206, 217 [1860] [“That hearsay or reputation is admissible as evidence, upon questions of pedigree or family relationship, . . . is a familiar doctrine”]). </w:t>
      </w:r>
    </w:p>
    <w:p w14:paraId="5B05EB3D"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sz w:val="24"/>
          <w:szCs w:val="24"/>
        </w:rPr>
      </w:pPr>
    </w:p>
    <w:p w14:paraId="0D1E768E" w14:textId="77777777" w:rsidR="00746CFB" w:rsidRPr="007C410E" w:rsidRDefault="007C410E" w:rsidP="00BF3E9C">
      <w:pPr>
        <w:widowControl/>
        <w:numPr>
          <w:ilvl w:val="12"/>
          <w:numId w:val="0"/>
        </w:numPr>
        <w:tabs>
          <w:tab w:val="left" w:pos="720"/>
          <w:tab w:val="left" w:pos="1441"/>
          <w:tab w:val="left" w:pos="2161"/>
          <w:tab w:val="left" w:pos="2881"/>
          <w:tab w:val="left" w:pos="3601"/>
          <w:tab w:val="left" w:pos="4321"/>
          <w:tab w:val="left" w:pos="5041"/>
          <w:tab w:val="left" w:pos="5761"/>
          <w:tab w:val="left" w:pos="6481"/>
          <w:tab w:val="left" w:pos="7201"/>
          <w:tab w:val="left" w:pos="7926"/>
        </w:tabs>
        <w:spacing w:line="276" w:lineRule="auto"/>
        <w:ind w:left="-14" w:firstLine="14"/>
        <w:jc w:val="both"/>
        <w:rPr>
          <w:b/>
          <w:bCs/>
          <w:sz w:val="24"/>
          <w:szCs w:val="24"/>
        </w:rPr>
      </w:pPr>
      <w:r>
        <w:rPr>
          <w:sz w:val="24"/>
          <w:szCs w:val="24"/>
        </w:rPr>
        <w:tab/>
      </w:r>
      <w:r w:rsidR="00746CFB" w:rsidRPr="007C410E">
        <w:rPr>
          <w:sz w:val="24"/>
          <w:szCs w:val="24"/>
        </w:rPr>
        <w:t xml:space="preserve">The proof of pedigree by means other than reputation evidence is governed by </w:t>
      </w:r>
      <w:r w:rsidR="00F91F64">
        <w:rPr>
          <w:sz w:val="24"/>
          <w:szCs w:val="24"/>
        </w:rPr>
        <w:t>Guide to New York Evidence r</w:t>
      </w:r>
      <w:r w:rsidR="00746CFB" w:rsidRPr="007C410E">
        <w:rPr>
          <w:sz w:val="24"/>
          <w:szCs w:val="24"/>
        </w:rPr>
        <w:t>ule 8.33.</w:t>
      </w:r>
      <w:r w:rsidR="00746CFB" w:rsidRPr="007C410E">
        <w:rPr>
          <w:b/>
          <w:bCs/>
          <w:sz w:val="24"/>
          <w:szCs w:val="24"/>
        </w:rPr>
        <w:t xml:space="preserve"> </w:t>
      </w:r>
    </w:p>
    <w:p w14:paraId="64B6CE92" w14:textId="77777777" w:rsidR="00746CFB" w:rsidRPr="007C410E" w:rsidRDefault="00746CFB" w:rsidP="00BF3E9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sz w:val="24"/>
          <w:szCs w:val="24"/>
        </w:rPr>
      </w:pPr>
    </w:p>
    <w:p w14:paraId="541F9E97" w14:textId="77777777" w:rsidR="00746CFB" w:rsidRPr="007C410E" w:rsidRDefault="007C410E" w:rsidP="00BF3E9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ind w:left="-14"/>
        <w:jc w:val="both"/>
        <w:rPr>
          <w:sz w:val="24"/>
          <w:szCs w:val="24"/>
        </w:rPr>
      </w:pPr>
      <w:r>
        <w:rPr>
          <w:sz w:val="24"/>
          <w:szCs w:val="24"/>
        </w:rPr>
        <w:tab/>
      </w:r>
      <w:r w:rsidR="00746CFB" w:rsidRPr="007C410E">
        <w:rPr>
          <w:b/>
          <w:bCs/>
          <w:sz w:val="24"/>
          <w:szCs w:val="24"/>
        </w:rPr>
        <w:t>Subdivision (3</w:t>
      </w:r>
      <w:r w:rsidR="00746CFB" w:rsidRPr="007C410E">
        <w:rPr>
          <w:sz w:val="24"/>
          <w:szCs w:val="24"/>
        </w:rPr>
        <w:t xml:space="preserve">) is derived from </w:t>
      </w:r>
      <w:r w:rsidR="00746CFB" w:rsidRPr="007C410E">
        <w:rPr>
          <w:i/>
          <w:iCs/>
          <w:sz w:val="24"/>
          <w:szCs w:val="24"/>
        </w:rPr>
        <w:t>McKinnon v Bliss</w:t>
      </w:r>
      <w:r w:rsidR="00746CFB" w:rsidRPr="007C410E">
        <w:rPr>
          <w:sz w:val="24"/>
          <w:szCs w:val="24"/>
        </w:rPr>
        <w:t xml:space="preserve"> (21 NY at 217), wherein the Court of Appeals stated</w:t>
      </w:r>
      <w:r w:rsidR="00A37D96">
        <w:rPr>
          <w:sz w:val="24"/>
          <w:szCs w:val="24"/>
        </w:rPr>
        <w:t>:</w:t>
      </w:r>
      <w:r w:rsidR="00746CFB" w:rsidRPr="007C410E">
        <w:rPr>
          <w:sz w:val="24"/>
          <w:szCs w:val="24"/>
        </w:rPr>
        <w:t xml:space="preserve"> </w:t>
      </w:r>
      <w:r w:rsidR="00A37D96">
        <w:rPr>
          <w:sz w:val="24"/>
          <w:szCs w:val="24"/>
        </w:rPr>
        <w:t>“</w:t>
      </w:r>
      <w:r w:rsidR="00B76559">
        <w:rPr>
          <w:sz w:val="24"/>
          <w:szCs w:val="24"/>
        </w:rPr>
        <w:t>T</w:t>
      </w:r>
      <w:r w:rsidR="00746CFB" w:rsidRPr="007C410E">
        <w:rPr>
          <w:sz w:val="24"/>
          <w:szCs w:val="24"/>
        </w:rPr>
        <w:t>hat hearsay or reputation is admissible</w:t>
      </w:r>
      <w:r w:rsidR="00A37D96">
        <w:rPr>
          <w:sz w:val="24"/>
          <w:szCs w:val="24"/>
        </w:rPr>
        <w:t xml:space="preserve"> . . .</w:t>
      </w:r>
      <w:r w:rsidR="00746CFB" w:rsidRPr="007C410E">
        <w:rPr>
          <w:sz w:val="24"/>
          <w:szCs w:val="24"/>
        </w:rPr>
        <w:t xml:space="preserve"> upon questions respecting the boundaries of lands</w:t>
      </w:r>
      <w:r w:rsidR="003E4B32">
        <w:rPr>
          <w:sz w:val="24"/>
          <w:szCs w:val="24"/>
        </w:rPr>
        <w:t xml:space="preserve"> . . .</w:t>
      </w:r>
      <w:r w:rsidR="00746CFB" w:rsidRPr="007C410E">
        <w:rPr>
          <w:sz w:val="24"/>
          <w:szCs w:val="24"/>
        </w:rPr>
        <w:t xml:space="preserve"> is a familiar doctrine.” (</w:t>
      </w:r>
      <w:r w:rsidR="00746CFB" w:rsidRPr="007C410E">
        <w:rPr>
          <w:i/>
          <w:iCs/>
          <w:sz w:val="24"/>
          <w:szCs w:val="24"/>
        </w:rPr>
        <w:t>See also Village of Oxford v Willoughby</w:t>
      </w:r>
      <w:r w:rsidR="00746CFB" w:rsidRPr="007C410E">
        <w:rPr>
          <w:sz w:val="24"/>
          <w:szCs w:val="24"/>
        </w:rPr>
        <w:t xml:space="preserve">, 181 NY 155, 160-161 [1905] [“accepted belief of the community” as to location of public road]; </w:t>
      </w:r>
      <w:r w:rsidR="00746CFB" w:rsidRPr="007C410E">
        <w:rPr>
          <w:i/>
          <w:iCs/>
          <w:sz w:val="24"/>
          <w:szCs w:val="24"/>
        </w:rPr>
        <w:t>Hannah v Baylon Holding Corp.</w:t>
      </w:r>
      <w:r w:rsidR="00746CFB" w:rsidRPr="00C041DE">
        <w:rPr>
          <w:iCs/>
          <w:sz w:val="24"/>
          <w:szCs w:val="24"/>
        </w:rPr>
        <w:t>,</w:t>
      </w:r>
      <w:r w:rsidR="00746CFB" w:rsidRPr="007C410E">
        <w:rPr>
          <w:sz w:val="24"/>
          <w:szCs w:val="24"/>
        </w:rPr>
        <w:t xml:space="preserve"> 34 </w:t>
      </w:r>
      <w:r w:rsidR="00746CFB" w:rsidRPr="007C410E">
        <w:rPr>
          <w:sz w:val="24"/>
          <w:szCs w:val="24"/>
        </w:rPr>
        <w:lastRenderedPageBreak/>
        <w:t>AD2d 792 [2d Dept 1970] [in action to determine boundary lines, Court held evidence of reputation regarding boundaries insufficient to invoke “reputation</w:t>
      </w:r>
      <w:r w:rsidR="00413473">
        <w:rPr>
          <w:sz w:val="24"/>
          <w:szCs w:val="24"/>
        </w:rPr>
        <w:t>”</w:t>
      </w:r>
      <w:r w:rsidR="00746CFB" w:rsidRPr="007C410E">
        <w:rPr>
          <w:sz w:val="24"/>
          <w:szCs w:val="24"/>
        </w:rPr>
        <w:t xml:space="preserve"> exception],</w:t>
      </w:r>
      <w:r w:rsidR="00746CFB" w:rsidRPr="007C410E">
        <w:rPr>
          <w:i/>
          <w:iCs/>
          <w:sz w:val="24"/>
          <w:szCs w:val="24"/>
        </w:rPr>
        <w:t xml:space="preserve"> revd on other grounds</w:t>
      </w:r>
      <w:r w:rsidR="00746CFB" w:rsidRPr="007C410E">
        <w:rPr>
          <w:sz w:val="24"/>
          <w:szCs w:val="24"/>
        </w:rPr>
        <w:t xml:space="preserve"> 28 NY2d 89 [1971] [d</w:t>
      </w:r>
      <w:r w:rsidR="00746CFB" w:rsidRPr="007C410E">
        <w:rPr>
          <w:color w:val="212121"/>
          <w:sz w:val="24"/>
          <w:szCs w:val="24"/>
        </w:rPr>
        <w:t xml:space="preserve">eclarations of a deceased person who owned or was in possession of land, as to the boundary line between him and the land of another, were admissible as an exception to the hearsay rule and were sufficient to establish boundary lines]; </w:t>
      </w:r>
      <w:r w:rsidR="00746CFB" w:rsidRPr="007C410E">
        <w:rPr>
          <w:i/>
          <w:iCs/>
          <w:color w:val="212121"/>
          <w:sz w:val="24"/>
          <w:szCs w:val="24"/>
        </w:rPr>
        <w:t>Gardner v Town of Claverack</w:t>
      </w:r>
      <w:r w:rsidR="00746CFB" w:rsidRPr="007C410E">
        <w:rPr>
          <w:color w:val="212121"/>
          <w:sz w:val="24"/>
          <w:szCs w:val="24"/>
        </w:rPr>
        <w:t>,</w:t>
      </w:r>
      <w:r w:rsidR="00746CFB" w:rsidRPr="007C410E">
        <w:rPr>
          <w:i/>
          <w:iCs/>
          <w:color w:val="212121"/>
          <w:sz w:val="24"/>
          <w:szCs w:val="24"/>
        </w:rPr>
        <w:t xml:space="preserve"> </w:t>
      </w:r>
      <w:r w:rsidR="00746CFB" w:rsidRPr="007C410E">
        <w:rPr>
          <w:color w:val="212121"/>
          <w:sz w:val="24"/>
          <w:szCs w:val="24"/>
        </w:rPr>
        <w:t xml:space="preserve">22 NYS2d 265, 268-269 [Sup Ct, Columbia County 1940], </w:t>
      </w:r>
      <w:r w:rsidR="00746CFB" w:rsidRPr="007C410E">
        <w:rPr>
          <w:i/>
          <w:iCs/>
          <w:color w:val="212121"/>
          <w:sz w:val="24"/>
          <w:szCs w:val="24"/>
        </w:rPr>
        <w:t>affd</w:t>
      </w:r>
      <w:r w:rsidR="00746CFB" w:rsidRPr="007C410E">
        <w:rPr>
          <w:color w:val="212121"/>
          <w:sz w:val="24"/>
          <w:szCs w:val="24"/>
        </w:rPr>
        <w:t xml:space="preserve"> 25</w:t>
      </w:r>
      <w:r>
        <w:rPr>
          <w:color w:val="212121"/>
          <w:sz w:val="24"/>
          <w:szCs w:val="24"/>
        </w:rPr>
        <w:t>9 App Div 1111 [3d Dept 1940].)</w:t>
      </w:r>
    </w:p>
    <w:sectPr w:rsidR="00746CFB" w:rsidRPr="007C410E" w:rsidSect="00B76F47">
      <w:footerReference w:type="default" r:id="rId8"/>
      <w:type w:val="continuous"/>
      <w:pgSz w:w="12240" w:h="15840"/>
      <w:pgMar w:top="1080" w:right="2160" w:bottom="1152"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3C43" w14:textId="77777777" w:rsidR="003653A6" w:rsidRDefault="003653A6" w:rsidP="007C410E">
      <w:r>
        <w:separator/>
      </w:r>
    </w:p>
  </w:endnote>
  <w:endnote w:type="continuationSeparator" w:id="0">
    <w:p w14:paraId="4CA8821D" w14:textId="77777777" w:rsidR="003653A6" w:rsidRDefault="003653A6"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F331" w14:textId="77777777" w:rsidR="007C410E" w:rsidRDefault="007C410E" w:rsidP="00522E69">
    <w:pPr>
      <w:pStyle w:val="Footer"/>
      <w:tabs>
        <w:tab w:val="left" w:pos="3960"/>
        <w:tab w:val="left" w:pos="5070"/>
      </w:tabs>
      <w:jc w:val="center"/>
    </w:pPr>
    <w:r w:rsidRPr="007C410E">
      <w:rPr>
        <w:sz w:val="24"/>
        <w:szCs w:val="24"/>
      </w:rPr>
      <w:fldChar w:fldCharType="begin"/>
    </w:r>
    <w:r w:rsidRPr="007C410E">
      <w:rPr>
        <w:sz w:val="24"/>
        <w:szCs w:val="24"/>
      </w:rPr>
      <w:instrText xml:space="preserve"> PAGE   \* MERGEFORMAT </w:instrText>
    </w:r>
    <w:r w:rsidRPr="007C410E">
      <w:rPr>
        <w:sz w:val="24"/>
        <w:szCs w:val="24"/>
      </w:rPr>
      <w:fldChar w:fldCharType="separate"/>
    </w:r>
    <w:r w:rsidR="00F825F5">
      <w:rPr>
        <w:noProof/>
        <w:sz w:val="24"/>
        <w:szCs w:val="24"/>
      </w:rPr>
      <w:t>3</w:t>
    </w:r>
    <w:r w:rsidRPr="007C410E">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E1BE" w14:textId="77777777" w:rsidR="003653A6" w:rsidRDefault="003653A6" w:rsidP="007C410E">
      <w:r>
        <w:separator/>
      </w:r>
    </w:p>
  </w:footnote>
  <w:footnote w:type="continuationSeparator" w:id="0">
    <w:p w14:paraId="74FB2D19" w14:textId="77777777" w:rsidR="003653A6" w:rsidRDefault="003653A6" w:rsidP="007C410E">
      <w:r>
        <w:continuationSeparator/>
      </w:r>
    </w:p>
  </w:footnote>
  <w:footnote w:id="1">
    <w:p w14:paraId="7D43A87E" w14:textId="366C8435" w:rsidR="005C312A" w:rsidRDefault="005C312A">
      <w:pPr>
        <w:pStyle w:val="FootnoteText"/>
      </w:pPr>
      <w:r>
        <w:rPr>
          <w:rStyle w:val="FootnoteReference"/>
        </w:rPr>
        <w:footnoteRef/>
      </w:r>
      <w:r>
        <w:t xml:space="preserve">  In June 2021, subdivision (1)(a) was revised primarily to include the cross-reference to the Guide's rule 4.11</w:t>
      </w:r>
      <w:r w:rsidR="00BF3E9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57A"/>
    <w:multiLevelType w:val="hybridMultilevel"/>
    <w:tmpl w:val="CF20BE74"/>
    <w:lvl w:ilvl="0" w:tplc="F3E068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43345"/>
    <w:multiLevelType w:val="hybridMultilevel"/>
    <w:tmpl w:val="8932B4A0"/>
    <w:lvl w:ilvl="0" w:tplc="E1A41038">
      <w:start w:val="1"/>
      <w:numFmt w:val="decimal"/>
      <w:lvlText w:val="(%1)"/>
      <w:lvlJc w:val="left"/>
      <w:pPr>
        <w:ind w:left="1113" w:hanging="39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B70038"/>
    <w:multiLevelType w:val="multilevel"/>
    <w:tmpl w:val="2B56E41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708872673">
    <w:abstractNumId w:val="2"/>
  </w:num>
  <w:num w:numId="2" w16cid:durableId="1616132357">
    <w:abstractNumId w:val="0"/>
  </w:num>
  <w:num w:numId="3" w16cid:durableId="1636788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6E"/>
    <w:rsid w:val="000B7E35"/>
    <w:rsid w:val="000C4E66"/>
    <w:rsid w:val="00115039"/>
    <w:rsid w:val="001341F7"/>
    <w:rsid w:val="001A7573"/>
    <w:rsid w:val="002575DF"/>
    <w:rsid w:val="00354424"/>
    <w:rsid w:val="003653A6"/>
    <w:rsid w:val="0037548A"/>
    <w:rsid w:val="003E4B32"/>
    <w:rsid w:val="004049AB"/>
    <w:rsid w:val="004073E3"/>
    <w:rsid w:val="00413473"/>
    <w:rsid w:val="004732CD"/>
    <w:rsid w:val="00522E69"/>
    <w:rsid w:val="00576352"/>
    <w:rsid w:val="005C1683"/>
    <w:rsid w:val="005C312A"/>
    <w:rsid w:val="0063340C"/>
    <w:rsid w:val="00662936"/>
    <w:rsid w:val="006C4C73"/>
    <w:rsid w:val="006E007E"/>
    <w:rsid w:val="007232BC"/>
    <w:rsid w:val="00730195"/>
    <w:rsid w:val="00746CFB"/>
    <w:rsid w:val="007C410E"/>
    <w:rsid w:val="00891F04"/>
    <w:rsid w:val="00924222"/>
    <w:rsid w:val="009B26A3"/>
    <w:rsid w:val="00A250E3"/>
    <w:rsid w:val="00A37D96"/>
    <w:rsid w:val="00B76559"/>
    <w:rsid w:val="00B76F47"/>
    <w:rsid w:val="00BB46B3"/>
    <w:rsid w:val="00BF3E9C"/>
    <w:rsid w:val="00C041DE"/>
    <w:rsid w:val="00C641E1"/>
    <w:rsid w:val="00CD0D5C"/>
    <w:rsid w:val="00D66157"/>
    <w:rsid w:val="00D87DE1"/>
    <w:rsid w:val="00D97A29"/>
    <w:rsid w:val="00E2226E"/>
    <w:rsid w:val="00E32170"/>
    <w:rsid w:val="00E40352"/>
    <w:rsid w:val="00E43E72"/>
    <w:rsid w:val="00E878D0"/>
    <w:rsid w:val="00F54A30"/>
    <w:rsid w:val="00F825F5"/>
    <w:rsid w:val="00F91F64"/>
    <w:rsid w:val="00FE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946DD8"/>
  <w14:defaultImageDpi w14:val="0"/>
  <w15:docId w15:val="{78A2F7FB-CFC2-49D6-8300-CBDFBF9E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ind w:left="1165"/>
      <w:jc w:val="both"/>
    </w:pPr>
    <w:rPr>
      <w:sz w:val="22"/>
      <w:szCs w:val="22"/>
    </w:rPr>
  </w:style>
  <w:style w:type="paragraph" w:customStyle="1" w:styleId="L1-2">
    <w:name w:val="L1-2"/>
    <w:uiPriority w:val="99"/>
    <w:pPr>
      <w:widowControl w:val="0"/>
      <w:autoSpaceDE w:val="0"/>
      <w:autoSpaceDN w:val="0"/>
      <w:adjustRightInd w:val="0"/>
      <w:ind w:left="1765"/>
      <w:jc w:val="both"/>
    </w:pPr>
    <w:rPr>
      <w:sz w:val="22"/>
      <w:szCs w:val="22"/>
    </w:rPr>
  </w:style>
  <w:style w:type="paragraph" w:customStyle="1" w:styleId="L1-3">
    <w:name w:val="L1-3"/>
    <w:uiPriority w:val="99"/>
    <w:pPr>
      <w:widowControl w:val="0"/>
      <w:autoSpaceDE w:val="0"/>
      <w:autoSpaceDN w:val="0"/>
      <w:adjustRightInd w:val="0"/>
      <w:ind w:left="2392"/>
      <w:jc w:val="both"/>
    </w:pPr>
    <w:rPr>
      <w:sz w:val="22"/>
      <w:szCs w:val="22"/>
    </w:rPr>
  </w:style>
  <w:style w:type="paragraph" w:customStyle="1" w:styleId="L1-4">
    <w:name w:val="L1-4"/>
    <w:uiPriority w:val="99"/>
    <w:pPr>
      <w:widowControl w:val="0"/>
      <w:autoSpaceDE w:val="0"/>
      <w:autoSpaceDN w:val="0"/>
      <w:adjustRightInd w:val="0"/>
      <w:ind w:left="3112"/>
      <w:jc w:val="both"/>
    </w:pPr>
    <w:rPr>
      <w:sz w:val="22"/>
      <w:szCs w:val="22"/>
    </w:rPr>
  </w:style>
  <w:style w:type="paragraph" w:customStyle="1" w:styleId="L1-5">
    <w:name w:val="L1-5"/>
    <w:uiPriority w:val="99"/>
    <w:pPr>
      <w:widowControl w:val="0"/>
      <w:autoSpaceDE w:val="0"/>
      <w:autoSpaceDN w:val="0"/>
      <w:adjustRightInd w:val="0"/>
      <w:ind w:left="3832"/>
      <w:jc w:val="both"/>
    </w:pPr>
    <w:rPr>
      <w:sz w:val="22"/>
      <w:szCs w:val="22"/>
    </w:rPr>
  </w:style>
  <w:style w:type="paragraph" w:customStyle="1" w:styleId="L1-6">
    <w:name w:val="L1-6"/>
    <w:uiPriority w:val="99"/>
    <w:pPr>
      <w:widowControl w:val="0"/>
      <w:autoSpaceDE w:val="0"/>
      <w:autoSpaceDN w:val="0"/>
      <w:adjustRightInd w:val="0"/>
      <w:ind w:left="4552"/>
      <w:jc w:val="both"/>
    </w:pPr>
    <w:rPr>
      <w:sz w:val="22"/>
      <w:szCs w:val="22"/>
    </w:rPr>
  </w:style>
  <w:style w:type="paragraph" w:customStyle="1" w:styleId="L1-7">
    <w:name w:val="L1-7"/>
    <w:uiPriority w:val="99"/>
    <w:pPr>
      <w:widowControl w:val="0"/>
      <w:autoSpaceDE w:val="0"/>
      <w:autoSpaceDN w:val="0"/>
      <w:adjustRightInd w:val="0"/>
      <w:ind w:left="5272"/>
      <w:jc w:val="both"/>
    </w:pPr>
    <w:rPr>
      <w:sz w:val="22"/>
      <w:szCs w:val="22"/>
    </w:rPr>
  </w:style>
  <w:style w:type="paragraph" w:customStyle="1" w:styleId="L1-8">
    <w:name w:val="L1-8"/>
    <w:uiPriority w:val="99"/>
    <w:pPr>
      <w:widowControl w:val="0"/>
      <w:autoSpaceDE w:val="0"/>
      <w:autoSpaceDN w:val="0"/>
      <w:adjustRightInd w:val="0"/>
      <w:ind w:left="5992"/>
      <w:jc w:val="both"/>
    </w:pPr>
    <w:rPr>
      <w:sz w:val="22"/>
      <w:szCs w:val="22"/>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customStyle="1" w:styleId="L1-9">
    <w:name w:val="L1-9"/>
    <w:uiPriority w:val="99"/>
    <w:pPr>
      <w:widowControl w:val="0"/>
      <w:autoSpaceDE w:val="0"/>
      <w:autoSpaceDN w:val="0"/>
      <w:adjustRightInd w:val="0"/>
      <w:ind w:left="6712"/>
      <w:jc w:val="both"/>
    </w:pPr>
    <w:rPr>
      <w:sz w:val="22"/>
      <w:szCs w:val="22"/>
    </w:rPr>
  </w:style>
  <w:style w:type="paragraph" w:styleId="ListParagraph">
    <w:name w:val="List Paragraph"/>
    <w:basedOn w:val="Normal"/>
    <w:uiPriority w:val="34"/>
    <w:qFormat/>
    <w:rsid w:val="007C410E"/>
    <w:pPr>
      <w:ind w:left="720"/>
    </w:pPr>
  </w:style>
  <w:style w:type="paragraph" w:styleId="Header">
    <w:name w:val="header"/>
    <w:basedOn w:val="Normal"/>
    <w:link w:val="HeaderChar"/>
    <w:uiPriority w:val="99"/>
    <w:unhideWhenUsed/>
    <w:rsid w:val="007C410E"/>
    <w:pPr>
      <w:tabs>
        <w:tab w:val="center" w:pos="4680"/>
        <w:tab w:val="right" w:pos="9360"/>
      </w:tabs>
    </w:pPr>
  </w:style>
  <w:style w:type="character" w:customStyle="1" w:styleId="HeaderChar">
    <w:name w:val="Header Char"/>
    <w:basedOn w:val="DefaultParagraphFont"/>
    <w:link w:val="Header"/>
    <w:uiPriority w:val="99"/>
    <w:locked/>
    <w:rsid w:val="007C410E"/>
    <w:rPr>
      <w:rFonts w:ascii="Times New Roman" w:hAnsi="Times New Roman" w:cs="Times New Roman"/>
      <w:sz w:val="20"/>
    </w:rPr>
  </w:style>
  <w:style w:type="paragraph" w:styleId="Footer">
    <w:name w:val="footer"/>
    <w:basedOn w:val="Normal"/>
    <w:link w:val="FooterChar"/>
    <w:uiPriority w:val="99"/>
    <w:unhideWhenUsed/>
    <w:rsid w:val="007C410E"/>
    <w:pPr>
      <w:tabs>
        <w:tab w:val="center" w:pos="4680"/>
        <w:tab w:val="right" w:pos="9360"/>
      </w:tabs>
    </w:pPr>
  </w:style>
  <w:style w:type="character" w:customStyle="1" w:styleId="FooterChar">
    <w:name w:val="Footer Char"/>
    <w:basedOn w:val="DefaultParagraphFont"/>
    <w:link w:val="Footer"/>
    <w:uiPriority w:val="99"/>
    <w:locked/>
    <w:rsid w:val="007C410E"/>
    <w:rPr>
      <w:rFonts w:ascii="Times New Roman" w:hAnsi="Times New Roman" w:cs="Times New Roman"/>
      <w:sz w:val="20"/>
    </w:rPr>
  </w:style>
  <w:style w:type="character" w:styleId="CommentReference">
    <w:name w:val="annotation reference"/>
    <w:basedOn w:val="DefaultParagraphFont"/>
    <w:uiPriority w:val="99"/>
    <w:semiHidden/>
    <w:unhideWhenUsed/>
    <w:rsid w:val="0063340C"/>
    <w:rPr>
      <w:rFonts w:cs="Times New Roman"/>
      <w:sz w:val="16"/>
      <w:szCs w:val="16"/>
    </w:rPr>
  </w:style>
  <w:style w:type="paragraph" w:styleId="CommentText">
    <w:name w:val="annotation text"/>
    <w:basedOn w:val="Normal"/>
    <w:link w:val="CommentTextChar"/>
    <w:uiPriority w:val="99"/>
    <w:semiHidden/>
    <w:unhideWhenUsed/>
    <w:rsid w:val="0063340C"/>
  </w:style>
  <w:style w:type="character" w:customStyle="1" w:styleId="CommentTextChar">
    <w:name w:val="Comment Text Char"/>
    <w:basedOn w:val="DefaultParagraphFont"/>
    <w:link w:val="CommentText"/>
    <w:uiPriority w:val="99"/>
    <w:semiHidden/>
    <w:locked/>
    <w:rsid w:val="0063340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3340C"/>
    <w:rPr>
      <w:b/>
      <w:bCs/>
    </w:rPr>
  </w:style>
  <w:style w:type="character" w:customStyle="1" w:styleId="CommentSubjectChar">
    <w:name w:val="Comment Subject Char"/>
    <w:basedOn w:val="CommentTextChar"/>
    <w:link w:val="CommentSubject"/>
    <w:uiPriority w:val="99"/>
    <w:semiHidden/>
    <w:locked/>
    <w:rsid w:val="0063340C"/>
    <w:rPr>
      <w:rFonts w:ascii="Times New Roman" w:hAnsi="Times New Roman" w:cs="Times New Roman"/>
      <w:b/>
      <w:bCs/>
    </w:rPr>
  </w:style>
  <w:style w:type="paragraph" w:styleId="BalloonText">
    <w:name w:val="Balloon Text"/>
    <w:basedOn w:val="Normal"/>
    <w:link w:val="BalloonTextChar"/>
    <w:uiPriority w:val="99"/>
    <w:semiHidden/>
    <w:unhideWhenUsed/>
    <w:rsid w:val="0063340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340C"/>
    <w:rPr>
      <w:rFonts w:ascii="Segoe UI" w:hAnsi="Segoe UI" w:cs="Segoe UI"/>
      <w:sz w:val="18"/>
      <w:szCs w:val="18"/>
    </w:rPr>
  </w:style>
  <w:style w:type="paragraph" w:styleId="FootnoteText">
    <w:name w:val="footnote text"/>
    <w:basedOn w:val="Normal"/>
    <w:link w:val="FootnoteTextChar"/>
    <w:uiPriority w:val="99"/>
    <w:semiHidden/>
    <w:unhideWhenUsed/>
    <w:rsid w:val="005C312A"/>
  </w:style>
  <w:style w:type="character" w:customStyle="1" w:styleId="FootnoteTextChar">
    <w:name w:val="Footnote Text Char"/>
    <w:basedOn w:val="DefaultParagraphFont"/>
    <w:link w:val="FootnoteText"/>
    <w:uiPriority w:val="99"/>
    <w:semiHidden/>
    <w:rsid w:val="005C312A"/>
    <w:rPr>
      <w:rFonts w:ascii="Times New Roman" w:hAnsi="Times New Roman" w:cs="Times New Roman"/>
    </w:rPr>
  </w:style>
  <w:style w:type="character" w:styleId="FootnoteReference">
    <w:name w:val="footnote reference"/>
    <w:basedOn w:val="DefaultParagraphFont"/>
    <w:uiPriority w:val="99"/>
    <w:semiHidden/>
    <w:unhideWhenUsed/>
    <w:rsid w:val="005C312A"/>
    <w:rPr>
      <w:vertAlign w:val="superscript"/>
    </w:rPr>
  </w:style>
  <w:style w:type="character" w:styleId="Hyperlink">
    <w:name w:val="Hyperlink"/>
    <w:basedOn w:val="DefaultParagraphFont"/>
    <w:uiPriority w:val="99"/>
    <w:unhideWhenUsed/>
    <w:rsid w:val="00576352"/>
    <w:rPr>
      <w:color w:val="0563C1" w:themeColor="hyperlink"/>
      <w:u w:val="single"/>
    </w:rPr>
  </w:style>
  <w:style w:type="character" w:styleId="UnresolvedMention">
    <w:name w:val="Unresolved Mention"/>
    <w:basedOn w:val="DefaultParagraphFont"/>
    <w:uiPriority w:val="99"/>
    <w:semiHidden/>
    <w:unhideWhenUsed/>
    <w:rsid w:val="00576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07AA-9202-464E-B3E2-B16D0D20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1023</Words>
  <Characters>5228</Characters>
  <Application>Microsoft Office Word</Application>
  <DocSecurity>0</DocSecurity>
  <Lines>121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cp:lastModifiedBy>
  <cp:revision>20</cp:revision>
  <cp:lastPrinted>2023-05-04T02:47:00Z</cp:lastPrinted>
  <dcterms:created xsi:type="dcterms:W3CDTF">2021-05-04T16:46:00Z</dcterms:created>
  <dcterms:modified xsi:type="dcterms:W3CDTF">2023-05-04T02:47:00Z</dcterms:modified>
</cp:coreProperties>
</file>