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E7" w:rsidRDefault="000F7FE7">
      <w:pPr>
        <w:widowControl w:val="0"/>
      </w:pPr>
      <w:r>
        <w:fldChar w:fldCharType="begin"/>
      </w:r>
      <w:r>
        <w:instrText xml:space="preserve"> SEQ CHAPTER \h \r 1</w:instrText>
      </w:r>
      <w:r>
        <w:fldChar w:fldCharType="end"/>
      </w:r>
      <w:r>
        <w:t>F.C.A</w:t>
      </w:r>
      <w:proofErr w:type="gramStart"/>
      <w:r>
        <w:t>.§</w:t>
      </w:r>
      <w:proofErr w:type="gramEnd"/>
      <w:r>
        <w:t>§ 301.2,322.1</w:t>
      </w:r>
      <w:r>
        <w:tab/>
      </w:r>
      <w:r>
        <w:tab/>
      </w:r>
      <w:r>
        <w:tab/>
      </w:r>
      <w:r>
        <w:tab/>
      </w:r>
      <w:r>
        <w:tab/>
      </w:r>
      <w:r>
        <w:tab/>
      </w:r>
      <w:r>
        <w:tab/>
      </w:r>
      <w:r w:rsidR="000D06A5">
        <w:t xml:space="preserve">             </w:t>
      </w:r>
      <w:r>
        <w:t>Form 3-14</w:t>
      </w:r>
    </w:p>
    <w:p w:rsidR="000F7FE7" w:rsidRDefault="000F7FE7">
      <w:pPr>
        <w:widowControl w:val="0"/>
        <w:ind w:left="6480"/>
      </w:pPr>
      <w:r>
        <w:t>(Juvenile Delinquency– Order Directing Examination to Determine Capacity)</w:t>
      </w:r>
    </w:p>
    <w:p w:rsidR="000F7FE7" w:rsidRDefault="000F7FE7">
      <w:pPr>
        <w:widowControl w:val="0"/>
      </w:pPr>
      <w:r>
        <w:tab/>
      </w:r>
      <w:r>
        <w:tab/>
      </w:r>
      <w:r>
        <w:tab/>
      </w:r>
      <w:r>
        <w:tab/>
      </w:r>
      <w:r>
        <w:tab/>
      </w:r>
      <w:r>
        <w:tab/>
      </w:r>
      <w:r>
        <w:tab/>
        <w:t xml:space="preserve">   </w:t>
      </w:r>
      <w:r>
        <w:tab/>
      </w:r>
      <w:r>
        <w:tab/>
      </w:r>
      <w:r>
        <w:tab/>
        <w:t>6/2016</w:t>
      </w:r>
    </w:p>
    <w:p w:rsidR="000F7FE7" w:rsidRDefault="000F7FE7">
      <w:pPr>
        <w:widowControl w:val="0"/>
      </w:pPr>
    </w:p>
    <w:p w:rsidR="000F7FE7" w:rsidRDefault="000F7FE7">
      <w:pPr>
        <w:widowControl w:val="0"/>
      </w:pPr>
      <w:r>
        <w:tab/>
      </w:r>
      <w:r>
        <w:tab/>
      </w:r>
      <w:r>
        <w:tab/>
      </w:r>
      <w:r>
        <w:tab/>
      </w:r>
      <w:r>
        <w:tab/>
        <w:t xml:space="preserve">At a term of the Family Court of the </w:t>
      </w:r>
    </w:p>
    <w:p w:rsidR="000F7FE7" w:rsidRDefault="000F7FE7">
      <w:pPr>
        <w:widowControl w:val="0"/>
      </w:pPr>
      <w:r>
        <w:tab/>
      </w:r>
      <w:r>
        <w:tab/>
      </w:r>
      <w:r>
        <w:tab/>
      </w:r>
      <w:r>
        <w:tab/>
      </w:r>
      <w:r>
        <w:tab/>
        <w:t xml:space="preserve">State of New York, held in and for </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ab/>
      </w:r>
      <w:r>
        <w:tab/>
      </w:r>
      <w:r>
        <w:tab/>
      </w:r>
      <w:r>
        <w:tab/>
      </w:r>
      <w:r>
        <w:tab/>
      </w:r>
      <w:proofErr w:type="gramStart"/>
      <w:r>
        <w:t>the</w:t>
      </w:r>
      <w:proofErr w:type="gramEnd"/>
      <w:r>
        <w:t xml:space="preserve"> County of                                 ,</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ab/>
      </w:r>
      <w:r>
        <w:tab/>
      </w:r>
      <w:r>
        <w:tab/>
      </w:r>
      <w:r>
        <w:tab/>
      </w:r>
      <w:r>
        <w:tab/>
      </w:r>
      <w:proofErr w:type="gramStart"/>
      <w:r>
        <w:t>at</w:t>
      </w:r>
      <w:proofErr w:type="gramEnd"/>
      <w:r>
        <w:t xml:space="preserve">                                  , New York, </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ab/>
      </w:r>
      <w:r>
        <w:tab/>
      </w:r>
      <w:r>
        <w:tab/>
      </w:r>
      <w:r>
        <w:tab/>
      </w:r>
      <w:r>
        <w:tab/>
      </w:r>
      <w:proofErr w:type="gramStart"/>
      <w:r>
        <w:t>on</w:t>
      </w:r>
      <w:proofErr w:type="gramEnd"/>
      <w:r>
        <w:t xml:space="preserve">                            ,              .</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 xml:space="preserve">P R E S E N </w:t>
      </w:r>
      <w:proofErr w:type="gramStart"/>
      <w:r>
        <w:t>T :</w:t>
      </w:r>
      <w:proofErr w:type="gramEnd"/>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ab/>
        <w:t>Hon.</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ab/>
      </w:r>
      <w:r>
        <w:tab/>
        <w:t>Judge</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_________________________________</w:t>
      </w:r>
    </w:p>
    <w:p w:rsidR="000F7FE7" w:rsidRDefault="000F7FE7">
      <w:pPr>
        <w:widowControl w:val="0"/>
        <w:tabs>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t>In the Matter of</w:t>
      </w:r>
    </w:p>
    <w:p w:rsidR="000F7FE7"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r>
      <w:r>
        <w:tab/>
        <w:t xml:space="preserve">   </w:t>
      </w:r>
      <w:r>
        <w:tab/>
      </w:r>
      <w:r>
        <w:tab/>
      </w:r>
      <w:r>
        <w:tab/>
      </w:r>
      <w:r>
        <w:tab/>
        <w:t xml:space="preserve">  Docket No.</w:t>
      </w:r>
    </w:p>
    <w:p w:rsidR="000F7FE7"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t xml:space="preserve">          </w:t>
      </w:r>
      <w:r>
        <w:tab/>
        <w:t xml:space="preserve">               </w:t>
      </w:r>
      <w:r>
        <w:tab/>
      </w:r>
      <w:r>
        <w:tab/>
      </w:r>
      <w:r>
        <w:tab/>
        <w:t>ORDER DIRECTING</w:t>
      </w:r>
    </w:p>
    <w:p w:rsidR="000D716B"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 Person Alleg</w:t>
      </w:r>
      <w:r w:rsidR="000D716B">
        <w:t xml:space="preserve">ed to be </w:t>
      </w:r>
      <w:proofErr w:type="spellStart"/>
      <w:proofErr w:type="gramStart"/>
      <w:r w:rsidR="000D716B">
        <w:t>a</w:t>
      </w:r>
      <w:proofErr w:type="spellEnd"/>
      <w:proofErr w:type="gramEnd"/>
      <w:r w:rsidR="000D716B">
        <w:t xml:space="preserve"> </w:t>
      </w:r>
      <w:r w:rsidR="000D716B">
        <w:tab/>
      </w:r>
      <w:r w:rsidR="000D716B">
        <w:tab/>
      </w:r>
      <w:r w:rsidR="000D716B">
        <w:tab/>
      </w:r>
      <w:r w:rsidR="000D716B">
        <w:tab/>
      </w:r>
      <w:r w:rsidR="000D716B">
        <w:tab/>
      </w:r>
      <w:r w:rsidR="000D716B">
        <w:tab/>
      </w:r>
      <w:r w:rsidR="000D716B">
        <w:tab/>
        <w:t xml:space="preserve">EXAMINATION TO </w:t>
      </w:r>
      <w:r>
        <w:t>Juvenile Delinquent,</w:t>
      </w:r>
      <w:r>
        <w:tab/>
      </w:r>
      <w:r>
        <w:tab/>
      </w:r>
      <w:r>
        <w:tab/>
      </w:r>
      <w:r>
        <w:tab/>
      </w:r>
      <w:r>
        <w:tab/>
      </w:r>
      <w:r>
        <w:tab/>
        <w:t xml:space="preserve">   </w:t>
      </w:r>
      <w:r>
        <w:tab/>
      </w:r>
      <w:r w:rsidR="000D716B">
        <w:tab/>
        <w:t>DETERMINE CAPACITY</w:t>
      </w:r>
      <w:r w:rsidR="000D716B">
        <w:tab/>
      </w:r>
      <w:r w:rsidR="000D716B">
        <w:tab/>
      </w:r>
      <w:r w:rsidR="000D716B">
        <w:tab/>
      </w:r>
      <w:r w:rsidR="000D716B">
        <w:tab/>
      </w:r>
      <w:r w:rsidR="000D716B">
        <w:tab/>
      </w:r>
      <w:r w:rsidR="000D716B">
        <w:tab/>
      </w:r>
      <w:r w:rsidR="000D716B">
        <w:tab/>
      </w:r>
      <w:r w:rsidR="000D716B">
        <w:tab/>
      </w:r>
      <w:r w:rsidR="000D716B">
        <w:tab/>
      </w:r>
    </w:p>
    <w:p w:rsidR="000F7FE7"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                                             Respondent.</w:t>
      </w:r>
    </w:p>
    <w:p w:rsidR="000F7FE7"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__________________________________</w:t>
      </w:r>
    </w:p>
    <w:p w:rsidR="000F7FE7" w:rsidRDefault="000F7FE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t>A petition under article 3 of the Family Court Act, sworn to on               ,     , having been filed in the Court alleging that the above-named Respondent is a juvenile delinquent, and it appearing that this Court has jurisdiction over the petition; and</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t xml:space="preserve">The Court being of the opinion that Respondent may be an incapacitated person as defined in subdivision 13 of section 301.2 of the Family Court Act in that Respondent is or may be (mentally ill as defined in subdivision 20 of section 1.03 of the Mental Hygiene Law) (intellectually disabled as defined in subdivisions 21 and 22 of section 1.03 of the Mental Hygiene Law); and it appearing that Respondent (is) (is not) in custody and that an examination pursuant to section 322.1 of the Family Court Act would serve the purposes of the Act; </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t xml:space="preserve">NOW, therefore, it is hereby </w:t>
      </w:r>
    </w:p>
    <w:p w:rsidR="000F7FE7" w:rsidRDefault="000D716B">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rsidRPr="000F5C15">
        <w:rPr>
          <w:b/>
        </w:rPr>
        <w:t>ORDERED</w:t>
      </w:r>
      <w:r>
        <w:t xml:space="preserve"> </w:t>
      </w:r>
      <w:r w:rsidR="000F7FE7">
        <w:t>that Respondent be examined by two qualified psychiatric examiners as defined in subdivision 7 of section 730.10 of the Criminal Procedure Law to determine whether Respondent is mentally ill or intellectually disabled; and it is further</w:t>
      </w:r>
      <w:r w:rsidR="000F7FE7">
        <w:tab/>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[Delete inapplicable provision]</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bookmarkStart w:id="0" w:name="_GoBack"/>
      <w:bookmarkEnd w:id="0"/>
      <w:r w:rsidRPr="000F5C15">
        <w:rPr>
          <w:b/>
        </w:rPr>
        <w:t>ORDERED</w:t>
      </w:r>
      <w:r>
        <w:t xml:space="preserve"> that</w:t>
      </w:r>
      <w:r w:rsidR="000F5C15">
        <w:t xml:space="preserve"> [Applicable to New York City only; </w:t>
      </w:r>
      <w:r w:rsidR="000F5C15" w:rsidRPr="0039512A">
        <w:rPr>
          <w:u w:val="single"/>
        </w:rPr>
        <w:t xml:space="preserve">check box </w:t>
      </w:r>
      <w:r w:rsidR="0039512A" w:rsidRPr="0039512A">
        <w:rPr>
          <w:u w:val="single"/>
        </w:rPr>
        <w:t>if applicable</w:t>
      </w:r>
      <w:r w:rsidR="000F5C15">
        <w:t>]</w:t>
      </w:r>
      <w:r>
        <w:t xml:space="preserve">                                                                            report for examination on an outpatient basis by two psychiatric examiners appointed or designated for this purpose by the Court, at</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lastRenderedPageBreak/>
        <w:t xml:space="preserve">               New York, on               </w:t>
      </w:r>
      <w:proofErr w:type="gramStart"/>
      <w:r>
        <w:t>,     ,</w:t>
      </w:r>
      <w:proofErr w:type="gramEnd"/>
      <w:r>
        <w:t xml:space="preserve"> or at such other times and places as may</w:t>
      </w:r>
      <w:r w:rsidR="000F5C15">
        <w:t xml:space="preserve"> be directed; and it is further</w:t>
      </w:r>
    </w:p>
    <w:p w:rsidR="000F5C15" w:rsidRDefault="000F5C15">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rsidR="0039512A">
        <w:rPr>
          <w:rFonts w:ascii="WP TypographicSymbols" w:hAnsi="WP TypographicSymbols"/>
        </w:rPr>
        <w:t>G</w:t>
      </w:r>
      <w:r w:rsidR="0039512A" w:rsidRPr="000F5C15">
        <w:rPr>
          <w:b/>
        </w:rPr>
        <w:t xml:space="preserve"> </w:t>
      </w:r>
      <w:r w:rsidRPr="000F5C15">
        <w:rPr>
          <w:b/>
        </w:rPr>
        <w:t>ORDERED</w:t>
      </w:r>
      <w:r>
        <w:t xml:space="preserve"> that</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w:t>
      </w:r>
      <w:proofErr w:type="gramStart"/>
      <w:r>
        <w:t>report</w:t>
      </w:r>
      <w:proofErr w:type="gramEnd"/>
      <w:r>
        <w:t>) (</w:t>
      </w:r>
      <w:proofErr w:type="gramStart"/>
      <w:r>
        <w:t>is</w:t>
      </w:r>
      <w:proofErr w:type="gramEnd"/>
      <w:r>
        <w:t xml:space="preserve"> remanded) to</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roofErr w:type="gramStart"/>
      <w:r>
        <w:t>a</w:t>
      </w:r>
      <w:proofErr w:type="gramEnd"/>
      <w:r>
        <w:t xml:space="preserve"> Department of Health facility in the City of New York maintained for that purpose, at</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New York, on                 </w:t>
      </w:r>
      <w:proofErr w:type="gramStart"/>
      <w:r>
        <w:t>,       ,</w:t>
      </w:r>
      <w:proofErr w:type="gramEnd"/>
      <w:r>
        <w:t xml:space="preserve"> or at such other times and places as may be directed for the period required for the examination, not exceeding      </w:t>
      </w:r>
      <w:r w:rsidR="000F5C15">
        <w:t>days; and it is further</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rsidR="0039512A">
        <w:rPr>
          <w:rFonts w:ascii="WP TypographicSymbols" w:hAnsi="WP TypographicSymbols"/>
        </w:rPr>
        <w:t>G</w:t>
      </w:r>
      <w:r w:rsidR="0039512A" w:rsidRPr="000F5C15">
        <w:rPr>
          <w:b/>
        </w:rPr>
        <w:t xml:space="preserve"> </w:t>
      </w:r>
      <w:r w:rsidRPr="000F5C15">
        <w:rPr>
          <w:b/>
        </w:rPr>
        <w:t>ORDERED</w:t>
      </w:r>
      <w:r>
        <w:t xml:space="preserve"> that </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w:t>
      </w:r>
      <w:proofErr w:type="gramStart"/>
      <w:r>
        <w:t>report</w:t>
      </w:r>
      <w:proofErr w:type="gramEnd"/>
      <w:r>
        <w:t>) (</w:t>
      </w:r>
      <w:proofErr w:type="gramStart"/>
      <w:r>
        <w:t>is</w:t>
      </w:r>
      <w:proofErr w:type="gramEnd"/>
      <w:r>
        <w:t xml:space="preserve"> remanded) to                                    ,</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roofErr w:type="gramStart"/>
      <w:r>
        <w:t>a</w:t>
      </w:r>
      <w:proofErr w:type="gramEnd"/>
      <w:r>
        <w:t xml:space="preserve"> hospital maintained by the (county) (State of New York) (qualified private institution approved for such purpose), at</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                          , New York                 </w:t>
      </w:r>
      <w:proofErr w:type="gramStart"/>
      <w:r>
        <w:t>,      ,</w:t>
      </w:r>
      <w:proofErr w:type="gramEnd"/>
      <w:r>
        <w:t xml:space="preserve"> or a such other times and places as may be directed for the period required for the examination, not exceeding        </w:t>
      </w:r>
      <w:r w:rsidR="000F5C15">
        <w:t>days; and it is further</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rsidR="0039512A">
        <w:rPr>
          <w:rFonts w:ascii="WP TypographicSymbols" w:hAnsi="WP TypographicSymbols"/>
        </w:rPr>
        <w:t>G</w:t>
      </w:r>
      <w:r w:rsidR="0039512A" w:rsidRPr="000F5C15">
        <w:rPr>
          <w:b/>
        </w:rPr>
        <w:t xml:space="preserve"> </w:t>
      </w:r>
      <w:r w:rsidRPr="000F5C15">
        <w:rPr>
          <w:b/>
        </w:rPr>
        <w:t>ORDERED</w:t>
      </w:r>
      <w:r>
        <w:t xml:space="preserve"> that</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w:t>
      </w:r>
      <w:proofErr w:type="gramStart"/>
      <w:r>
        <w:t>report</w:t>
      </w:r>
      <w:proofErr w:type="gramEnd"/>
      <w:r>
        <w:t>) (is remanded) to                                 , an institution in the Department of Mental Hygiene, at                                                              , New York on                   ,      , or at such other times and places as may be directed for the period required for the examination, not exceeding        da</w:t>
      </w:r>
      <w:r w:rsidR="000F5C15">
        <w:t>ys; and it is further</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rsidR="0039512A">
        <w:rPr>
          <w:rFonts w:ascii="WP TypographicSymbols" w:hAnsi="WP TypographicSymbols"/>
        </w:rPr>
        <w:t>G</w:t>
      </w:r>
      <w:r w:rsidR="0039512A">
        <w:t xml:space="preserve"> </w:t>
      </w:r>
      <w:r w:rsidRPr="0039512A">
        <w:rPr>
          <w:b/>
        </w:rPr>
        <w:t>ORDERED</w:t>
      </w:r>
      <w:r>
        <w:t xml:space="preserve"> that upon completion of the examination ordered herewith, if hospitalization is not required, the person so examined shall be </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                                                   </w:t>
      </w:r>
      <w:r w:rsidR="000F5C15">
        <w:tab/>
      </w:r>
      <w:r w:rsidR="000F5C15">
        <w:tab/>
      </w:r>
      <w:r w:rsidR="000F5C15">
        <w:tab/>
      </w:r>
      <w:r w:rsidR="000F5C15">
        <w:tab/>
      </w:r>
      <w:r w:rsidR="000F5C15">
        <w:tab/>
      </w:r>
      <w:r w:rsidR="000F5C15">
        <w:tab/>
        <w:t xml:space="preserve">; </w:t>
      </w:r>
      <w:proofErr w:type="gramStart"/>
      <w:r w:rsidR="000F5C15">
        <w:t>and</w:t>
      </w:r>
      <w:proofErr w:type="gramEnd"/>
      <w:r w:rsidR="000F5C15">
        <w:t xml:space="preserve"> it is further</w:t>
      </w:r>
    </w:p>
    <w:p w:rsidR="000F7FE7" w:rsidRPr="000F5C15"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rPr>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rsidRPr="000F5C15">
        <w:rPr>
          <w:b/>
        </w:rPr>
        <w:tab/>
      </w:r>
      <w:r w:rsidRPr="000F5C15">
        <w:rPr>
          <w:b/>
        </w:rPr>
        <w:tab/>
        <w:t>ORDERED</w:t>
      </w:r>
      <w:r>
        <w:t xml:space="preserve"> that the examination report shall be filed with this Court within ten days after the entry of this order.</w:t>
      </w: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rsidR="000F7FE7" w:rsidRDefault="000F7FE7">
      <w:pPr>
        <w:widowControl w:val="0"/>
        <w:tabs>
          <w:tab w:val="left" w:pos="-720"/>
          <w:tab w:val="left" w:pos="288"/>
          <w:tab w:val="left" w:pos="1008"/>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rsidR="000F7FE7" w:rsidRDefault="000F7FE7">
      <w:pPr>
        <w:widowControl w:val="0"/>
        <w:tabs>
          <w:tab w:val="left" w:pos="288"/>
          <w:tab w:val="left" w:pos="2448"/>
          <w:tab w:val="left" w:pos="3888"/>
          <w:tab w:val="left" w:pos="4608"/>
          <w:tab w:val="left" w:pos="5328"/>
          <w:tab w:val="left" w:pos="6048"/>
          <w:tab w:val="left" w:pos="6858"/>
          <w:tab w:val="left" w:pos="7398"/>
          <w:tab w:val="left" w:pos="8208"/>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00E51731">
        <w:rPr>
          <w:sz w:val="26"/>
        </w:rPr>
        <w:tab/>
      </w:r>
      <w:r w:rsidR="00E51731">
        <w:rPr>
          <w:sz w:val="26"/>
        </w:rPr>
        <w:tab/>
      </w:r>
      <w:r>
        <w:rPr>
          <w:sz w:val="26"/>
        </w:rPr>
        <w:t>ENTER</w:t>
      </w:r>
    </w:p>
    <w:p w:rsidR="000F7FE7" w:rsidRDefault="000F7FE7">
      <w:pPr>
        <w:widowControl w:val="0"/>
        <w:tabs>
          <w:tab w:val="left" w:pos="288"/>
          <w:tab w:val="left" w:pos="2448"/>
          <w:tab w:val="left" w:pos="3888"/>
          <w:tab w:val="left" w:pos="4608"/>
          <w:tab w:val="left" w:pos="5328"/>
          <w:tab w:val="left" w:pos="6048"/>
          <w:tab w:val="left" w:pos="6858"/>
          <w:tab w:val="left" w:pos="7398"/>
          <w:tab w:val="left" w:pos="820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_____________________________</w:t>
      </w:r>
    </w:p>
    <w:p w:rsidR="000F7FE7" w:rsidRDefault="000F7FE7">
      <w:pPr>
        <w:widowControl w:val="0"/>
        <w:tabs>
          <w:tab w:val="left" w:pos="288"/>
          <w:tab w:val="left" w:pos="2448"/>
          <w:tab w:val="left" w:pos="3888"/>
          <w:tab w:val="left" w:pos="4608"/>
          <w:tab w:val="left" w:pos="5328"/>
          <w:tab w:val="left" w:pos="6048"/>
          <w:tab w:val="left" w:pos="6858"/>
          <w:tab w:val="left" w:pos="7398"/>
          <w:tab w:val="left" w:pos="8208"/>
        </w:tabs>
        <w:rPr>
          <w:sz w:val="22"/>
        </w:rPr>
      </w:pPr>
      <w:r>
        <w:rPr>
          <w:sz w:val="22"/>
        </w:rPr>
        <w:t xml:space="preserve">               </w:t>
      </w:r>
      <w:r>
        <w:rPr>
          <w:sz w:val="22"/>
        </w:rPr>
        <w:tab/>
      </w:r>
      <w:r>
        <w:rPr>
          <w:sz w:val="22"/>
        </w:rPr>
        <w:tab/>
      </w:r>
      <w:r>
        <w:rPr>
          <w:sz w:val="22"/>
        </w:rPr>
        <w:tab/>
      </w:r>
      <w:r>
        <w:rPr>
          <w:sz w:val="22"/>
        </w:rPr>
        <w:tab/>
      </w:r>
      <w:r>
        <w:rPr>
          <w:sz w:val="22"/>
        </w:rPr>
        <w:tab/>
      </w:r>
      <w:r>
        <w:t>Judge of the Family Court</w:t>
      </w:r>
    </w:p>
    <w:p w:rsidR="000F7FE7" w:rsidRDefault="000F7FE7">
      <w:pPr>
        <w:widowControl w:val="0"/>
        <w:tabs>
          <w:tab w:val="left" w:pos="288"/>
          <w:tab w:val="left" w:pos="2448"/>
          <w:tab w:val="left" w:pos="3888"/>
          <w:tab w:val="left" w:pos="4608"/>
          <w:tab w:val="left" w:pos="5328"/>
          <w:tab w:val="left" w:pos="6048"/>
          <w:tab w:val="left" w:pos="6858"/>
          <w:tab w:val="left" w:pos="7398"/>
          <w:tab w:val="left" w:pos="8208"/>
        </w:tabs>
        <w:rPr>
          <w:sz w:val="22"/>
        </w:rPr>
      </w:pPr>
      <w:r>
        <w:rPr>
          <w:sz w:val="22"/>
        </w:rPr>
        <w:t>Dated</w:t>
      </w:r>
      <w:proofErr w:type="gramStart"/>
      <w:r>
        <w:rPr>
          <w:sz w:val="22"/>
        </w:rPr>
        <w:t xml:space="preserve">:    </w:t>
      </w:r>
      <w:r w:rsidR="000D716B">
        <w:rPr>
          <w:sz w:val="22"/>
        </w:rPr>
        <w:t xml:space="preserve">                   ,        </w:t>
      </w:r>
      <w:r>
        <w:rPr>
          <w:sz w:val="22"/>
        </w:rPr>
        <w:t>.</w:t>
      </w:r>
      <w:proofErr w:type="gramEnd"/>
      <w:r>
        <w:rPr>
          <w:sz w:val="22"/>
        </w:rPr>
        <w:t xml:space="preserve"> </w:t>
      </w:r>
    </w:p>
    <w:p w:rsidR="000F7FE7" w:rsidRDefault="000F7FE7">
      <w:pPr>
        <w:widowControl w:val="0"/>
        <w:tabs>
          <w:tab w:val="left" w:pos="288"/>
          <w:tab w:val="left" w:pos="2448"/>
          <w:tab w:val="left" w:pos="3888"/>
          <w:tab w:val="left" w:pos="4608"/>
          <w:tab w:val="left" w:pos="5328"/>
          <w:tab w:val="left" w:pos="6048"/>
          <w:tab w:val="left" w:pos="6858"/>
          <w:tab w:val="left" w:pos="7398"/>
          <w:tab w:val="left" w:pos="8208"/>
        </w:tabs>
        <w:rPr>
          <w:sz w:val="22"/>
        </w:rPr>
      </w:pPr>
    </w:p>
    <w:p w:rsidR="000F7FE7" w:rsidRDefault="000F7FE7">
      <w:pPr>
        <w:widowControl w:val="0"/>
        <w:tabs>
          <w:tab w:val="left" w:pos="288"/>
        </w:tabs>
        <w:rPr>
          <w:sz w:val="22"/>
        </w:rPr>
      </w:pPr>
      <w:r>
        <w:rPr>
          <w:sz w:val="22"/>
        </w:rPr>
        <w:t>Check applicable box:</w:t>
      </w:r>
    </w:p>
    <w:p w:rsidR="000F7FE7" w:rsidRDefault="000F7FE7">
      <w:pPr>
        <w:widowControl w:val="0"/>
        <w:tabs>
          <w:tab w:val="left" w:pos="288"/>
        </w:tabs>
        <w:rPr>
          <w:sz w:val="22"/>
        </w:rPr>
      </w:pPr>
      <w:r>
        <w:rPr>
          <w:sz w:val="22"/>
        </w:rPr>
        <w:t xml:space="preserve"> ☐ Order mailed on [spe</w:t>
      </w:r>
      <w:r w:rsidR="000D716B">
        <w:rPr>
          <w:sz w:val="22"/>
        </w:rPr>
        <w:t>cify date(s) and to whom mailed</w:t>
      </w:r>
      <w:r>
        <w:rPr>
          <w:sz w:val="22"/>
        </w:rPr>
        <w:t>]:___________________________</w:t>
      </w:r>
    </w:p>
    <w:p w:rsidR="000F7FE7" w:rsidRDefault="000F7FE7">
      <w:pPr>
        <w:widowControl w:val="0"/>
        <w:tabs>
          <w:tab w:val="left" w:pos="288"/>
        </w:tabs>
      </w:pPr>
      <w:r>
        <w:rPr>
          <w:sz w:val="22"/>
        </w:rPr>
        <w:t xml:space="preserve"> ☐ Order received in court on [specify date(s) and to whom given]:_____________________</w:t>
      </w:r>
    </w:p>
    <w:sectPr w:rsidR="000F7FE7" w:rsidSect="000D06A5">
      <w:headerReference w:type="even" r:id="rId6"/>
      <w:headerReference w:type="default" r:id="rId7"/>
      <w:footerReference w:type="even" r:id="rId8"/>
      <w:footerReference w:type="default" r:id="rId9"/>
      <w:pgSz w:w="12240" w:h="15840"/>
      <w:pgMar w:top="1632" w:right="1152" w:bottom="1152" w:left="1152"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D5" w:rsidRDefault="003549D5">
      <w:r>
        <w:separator/>
      </w:r>
    </w:p>
  </w:endnote>
  <w:endnote w:type="continuationSeparator" w:id="0">
    <w:p w:rsidR="003549D5" w:rsidRDefault="003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E7" w:rsidRDefault="000F7F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E7" w:rsidRDefault="000F7F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D5" w:rsidRDefault="003549D5">
      <w:r>
        <w:separator/>
      </w:r>
    </w:p>
  </w:footnote>
  <w:footnote w:type="continuationSeparator" w:id="0">
    <w:p w:rsidR="003549D5" w:rsidRDefault="0035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E7" w:rsidRDefault="000F7F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A5" w:rsidRDefault="000D06A5">
    <w:pPr>
      <w:pStyle w:val="Header"/>
      <w:jc w:val="right"/>
    </w:pPr>
    <w:r>
      <w:t xml:space="preserve">Form 3-14 page </w:t>
    </w:r>
    <w:r>
      <w:fldChar w:fldCharType="begin"/>
    </w:r>
    <w:r>
      <w:instrText xml:space="preserve"> PAGE   \* MERGEFORMAT </w:instrText>
    </w:r>
    <w:r>
      <w:fldChar w:fldCharType="separate"/>
    </w:r>
    <w:r w:rsidR="00CB6A16">
      <w:rPr>
        <w:noProof/>
      </w:rPr>
      <w:t>2</w:t>
    </w:r>
    <w:r>
      <w:rPr>
        <w:noProof/>
      </w:rPr>
      <w:fldChar w:fldCharType="end"/>
    </w:r>
  </w:p>
  <w:p w:rsidR="000F7FE7" w:rsidRDefault="000F7F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A5"/>
    <w:rsid w:val="000770D9"/>
    <w:rsid w:val="000C4FF8"/>
    <w:rsid w:val="000D06A5"/>
    <w:rsid w:val="000D716B"/>
    <w:rsid w:val="000F5C15"/>
    <w:rsid w:val="000F7FE7"/>
    <w:rsid w:val="001C69DB"/>
    <w:rsid w:val="003549D5"/>
    <w:rsid w:val="0039512A"/>
    <w:rsid w:val="00716895"/>
    <w:rsid w:val="009809AC"/>
    <w:rsid w:val="00AC255A"/>
    <w:rsid w:val="00C91F1D"/>
    <w:rsid w:val="00CB6A16"/>
    <w:rsid w:val="00D03313"/>
    <w:rsid w:val="00E51731"/>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29BDBE-A73B-40F6-9ED9-0ED3F0EA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A5"/>
    <w:pPr>
      <w:tabs>
        <w:tab w:val="center" w:pos="4680"/>
        <w:tab w:val="right" w:pos="9360"/>
      </w:tabs>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HeaderChar">
    <w:name w:val="Header Char"/>
    <w:link w:val="Header"/>
    <w:uiPriority w:val="99"/>
    <w:rsid w:val="000D06A5"/>
    <w:rPr>
      <w:sz w:val="24"/>
    </w:rPr>
  </w:style>
  <w:style w:type="paragraph" w:styleId="Footer">
    <w:name w:val="footer"/>
    <w:basedOn w:val="Normal"/>
    <w:link w:val="FooterChar"/>
    <w:uiPriority w:val="99"/>
    <w:unhideWhenUsed/>
    <w:rsid w:val="000D06A5"/>
    <w:pPr>
      <w:tabs>
        <w:tab w:val="center" w:pos="4680"/>
        <w:tab w:val="right" w:pos="9360"/>
      </w:tabs>
    </w:pPr>
  </w:style>
  <w:style w:type="character" w:customStyle="1" w:styleId="FooterChar">
    <w:name w:val="Footer Char"/>
    <w:link w:val="Footer"/>
    <w:uiPriority w:val="99"/>
    <w:rsid w:val="000D06A5"/>
    <w:rPr>
      <w:sz w:val="24"/>
    </w:rPr>
  </w:style>
  <w:style w:type="paragraph" w:styleId="BalloonText">
    <w:name w:val="Balloon Text"/>
    <w:basedOn w:val="Normal"/>
    <w:link w:val="BalloonTextChar"/>
    <w:uiPriority w:val="99"/>
    <w:semiHidden/>
    <w:unhideWhenUsed/>
    <w:rsid w:val="000D06A5"/>
    <w:rPr>
      <w:rFonts w:ascii="Segoe UI" w:hAnsi="Segoe UI" w:cs="Segoe UI"/>
      <w:sz w:val="18"/>
      <w:szCs w:val="18"/>
    </w:rPr>
  </w:style>
  <w:style w:type="character" w:customStyle="1" w:styleId="BalloonTextChar">
    <w:name w:val="Balloon Text Char"/>
    <w:link w:val="BalloonText"/>
    <w:uiPriority w:val="99"/>
    <w:semiHidden/>
    <w:rsid w:val="000D0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8</cp:revision>
  <cp:lastPrinted>2016-07-18T18:12:00Z</cp:lastPrinted>
  <dcterms:created xsi:type="dcterms:W3CDTF">2016-07-11T19:47:00Z</dcterms:created>
  <dcterms:modified xsi:type="dcterms:W3CDTF">2016-07-18T18:12:00Z</dcterms:modified>
</cp:coreProperties>
</file>