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21F8" w14:textId="77777777" w:rsidR="001E44A3" w:rsidRDefault="001E44A3">
      <w:pPr>
        <w:kinsoku w:val="0"/>
        <w:overflowPunct w:val="0"/>
        <w:autoSpaceDE/>
        <w:autoSpaceDN/>
        <w:adjustRightInd/>
        <w:spacing w:before="32" w:after="666" w:line="315" w:lineRule="exact"/>
        <w:jc w:val="center"/>
        <w:textAlignment w:val="baseline"/>
        <w:rPr>
          <w:rFonts w:ascii="Arial" w:hAnsi="Arial" w:cs="Arial"/>
          <w:b/>
          <w:bCs/>
          <w:sz w:val="17"/>
          <w:szCs w:val="17"/>
        </w:rPr>
      </w:pPr>
      <w:bookmarkStart w:id="0" w:name="_GoBack"/>
      <w:bookmarkEnd w:id="0"/>
      <w:r>
        <w:rPr>
          <w:rFonts w:ascii="Arial" w:hAnsi="Arial" w:cs="Arial"/>
          <w:b/>
          <w:bCs/>
          <w:sz w:val="27"/>
          <w:szCs w:val="27"/>
        </w:rPr>
        <w:t xml:space="preserve">ABSENT DEFENDANT </w:t>
      </w:r>
      <w:r>
        <w:rPr>
          <w:rFonts w:ascii="Arial" w:hAnsi="Arial" w:cs="Arial"/>
          <w:b/>
          <w:bCs/>
          <w:sz w:val="27"/>
          <w:szCs w:val="27"/>
          <w:vertAlign w:val="superscript"/>
        </w:rPr>
        <w:t>1</w:t>
      </w:r>
    </w:p>
    <w:p w14:paraId="0221DBC6" w14:textId="77777777" w:rsidR="001E44A3" w:rsidRDefault="001E44A3">
      <w:pPr>
        <w:widowControl/>
        <w:rPr>
          <w:sz w:val="24"/>
          <w:szCs w:val="24"/>
        </w:rPr>
        <w:sectPr w:rsidR="001E44A3">
          <w:pgSz w:w="12240" w:h="15840"/>
          <w:pgMar w:top="1420" w:right="2130" w:bottom="3924" w:left="2150" w:header="720" w:footer="720" w:gutter="0"/>
          <w:cols w:space="720"/>
          <w:noEndnote/>
        </w:sectPr>
      </w:pPr>
    </w:p>
    <w:p w14:paraId="67F8E2A4" w14:textId="77777777" w:rsidR="001E44A3" w:rsidRDefault="001E44A3">
      <w:pPr>
        <w:kinsoku w:val="0"/>
        <w:overflowPunct w:val="0"/>
        <w:autoSpaceDE/>
        <w:autoSpaceDN/>
        <w:adjustRightInd/>
        <w:spacing w:after="4496" w:line="322" w:lineRule="exact"/>
        <w:ind w:firstLine="720"/>
        <w:jc w:val="both"/>
        <w:textAlignment w:val="baseline"/>
        <w:rPr>
          <w:rFonts w:ascii="Arial" w:hAnsi="Arial" w:cs="Arial"/>
          <w:b/>
          <w:bCs/>
          <w:sz w:val="17"/>
          <w:szCs w:val="17"/>
        </w:rPr>
      </w:pPr>
      <w:r>
        <w:rPr>
          <w:rFonts w:ascii="Arial" w:hAnsi="Arial" w:cs="Arial"/>
          <w:sz w:val="28"/>
          <w:szCs w:val="28"/>
        </w:rPr>
        <w:t>Members of the jury, you will have noticed that the defendant is not present in the courtroom. A defendant has the right to be present in the courtroom and the right not to be present. Thus, you are not to speculate upon the reasons for the defendant’s absence, nor are you to draw any inference, for or against the defendant, or for or against the People, from the defendant’s absence.</w:t>
      </w:r>
      <w:r>
        <w:rPr>
          <w:rFonts w:ascii="Arial" w:hAnsi="Arial" w:cs="Arial"/>
          <w:b/>
          <w:bCs/>
          <w:sz w:val="28"/>
          <w:szCs w:val="28"/>
          <w:vertAlign w:val="superscript"/>
        </w:rPr>
        <w:t>2</w:t>
      </w:r>
    </w:p>
    <w:p w14:paraId="521B91C2" w14:textId="77777777" w:rsidR="001E44A3" w:rsidRDefault="001E44A3">
      <w:pPr>
        <w:widowControl/>
        <w:rPr>
          <w:sz w:val="24"/>
          <w:szCs w:val="24"/>
        </w:rPr>
        <w:sectPr w:rsidR="001E44A3">
          <w:type w:val="continuous"/>
          <w:pgSz w:w="12240" w:h="15840"/>
          <w:pgMar w:top="1420" w:right="2130" w:bottom="3924" w:left="2170" w:header="720" w:footer="720" w:gutter="0"/>
          <w:cols w:space="720"/>
          <w:noEndnote/>
        </w:sectPr>
      </w:pPr>
    </w:p>
    <w:p w14:paraId="06B3AAB4" w14:textId="77777777" w:rsidR="001E44A3" w:rsidRDefault="001E44A3">
      <w:pPr>
        <w:numPr>
          <w:ilvl w:val="0"/>
          <w:numId w:val="1"/>
        </w:numPr>
        <w:kinsoku w:val="0"/>
        <w:overflowPunct w:val="0"/>
        <w:autoSpaceDE/>
        <w:autoSpaceDN/>
        <w:adjustRightInd/>
        <w:spacing w:before="688" w:line="274" w:lineRule="exact"/>
        <w:jc w:val="both"/>
        <w:textAlignment w:val="baseline"/>
        <w:rPr>
          <w:rFonts w:ascii="Arial" w:hAnsi="Arial" w:cs="Arial"/>
          <w:sz w:val="24"/>
          <w:szCs w:val="24"/>
        </w:rPr>
      </w:pPr>
      <w:r>
        <w:rPr>
          <w:noProof/>
        </w:rPr>
        <w:pict w14:anchorId="1947B11C">
          <v:line id="_x0000_s1026" style="position:absolute;left:0;text-align:left;z-index:251658240;mso-wrap-distance-left:0;mso-wrap-distance-right:0;mso-position-horizontal-relative:page;mso-position-vertical-relative:page" from="107.5pt,460.55pt" to="217.75pt,460.55pt" o:allowincell="f" strokeweight="1.2pt">
            <w10:wrap type="square" anchorx="page" anchory="page"/>
          </v:line>
        </w:pict>
      </w:r>
      <w:r>
        <w:rPr>
          <w:rFonts w:ascii="Arial" w:hAnsi="Arial" w:cs="Arial"/>
          <w:sz w:val="24"/>
          <w:szCs w:val="24"/>
        </w:rPr>
        <w:t>This charge is not applicable to the defendant who is excluded from the courtroom due to conduct which took place in the presence of the jury.</w:t>
      </w:r>
    </w:p>
    <w:p w14:paraId="35A86C18" w14:textId="77777777" w:rsidR="001E44A3" w:rsidRDefault="001E44A3">
      <w:pPr>
        <w:numPr>
          <w:ilvl w:val="0"/>
          <w:numId w:val="2"/>
        </w:numPr>
        <w:kinsoku w:val="0"/>
        <w:overflowPunct w:val="0"/>
        <w:autoSpaceDE/>
        <w:autoSpaceDN/>
        <w:adjustRightInd/>
        <w:spacing w:before="237" w:line="278" w:lineRule="exact"/>
        <w:jc w:val="both"/>
        <w:textAlignment w:val="baseline"/>
        <w:rPr>
          <w:rFonts w:ascii="Arial" w:hAnsi="Arial" w:cs="Arial"/>
          <w:sz w:val="24"/>
          <w:szCs w:val="24"/>
        </w:rPr>
      </w:pPr>
      <w:r>
        <w:rPr>
          <w:rFonts w:ascii="Arial" w:hAnsi="Arial" w:cs="Arial"/>
          <w:i/>
          <w:iCs/>
          <w:sz w:val="24"/>
          <w:szCs w:val="24"/>
        </w:rPr>
        <w:t xml:space="preserve">See </w:t>
      </w:r>
      <w:r>
        <w:rPr>
          <w:rFonts w:ascii="Arial" w:hAnsi="Arial" w:cs="Arial"/>
          <w:sz w:val="24"/>
          <w:szCs w:val="24"/>
        </w:rPr>
        <w:t xml:space="preserve">CPL § 260.20. </w:t>
      </w:r>
      <w:r>
        <w:rPr>
          <w:rFonts w:ascii="Arial" w:hAnsi="Arial" w:cs="Arial"/>
          <w:i/>
          <w:iCs/>
          <w:sz w:val="24"/>
          <w:szCs w:val="24"/>
        </w:rPr>
        <w:t>See also People v. Johnson</w:t>
      </w:r>
      <w:r>
        <w:rPr>
          <w:rFonts w:ascii="Arial" w:hAnsi="Arial" w:cs="Arial"/>
          <w:sz w:val="24"/>
          <w:szCs w:val="24"/>
        </w:rPr>
        <w:t xml:space="preserve">, 37 N.Y.2d 778 (1975); </w:t>
      </w:r>
      <w:r>
        <w:rPr>
          <w:rFonts w:ascii="Arial" w:hAnsi="Arial" w:cs="Arial"/>
          <w:i/>
          <w:iCs/>
          <w:sz w:val="24"/>
          <w:szCs w:val="24"/>
        </w:rPr>
        <w:t>People v. Brisbane</w:t>
      </w:r>
      <w:r>
        <w:rPr>
          <w:rFonts w:ascii="Arial" w:hAnsi="Arial" w:cs="Arial"/>
          <w:sz w:val="24"/>
          <w:szCs w:val="24"/>
        </w:rPr>
        <w:t>, 205 A.D.2d 358 (1</w:t>
      </w:r>
      <w:r>
        <w:rPr>
          <w:rFonts w:ascii="Arial" w:hAnsi="Arial" w:cs="Arial"/>
          <w:sz w:val="24"/>
          <w:szCs w:val="24"/>
          <w:vertAlign w:val="superscript"/>
        </w:rPr>
        <w:t>st</w:t>
      </w:r>
      <w:r>
        <w:rPr>
          <w:rFonts w:ascii="Arial" w:hAnsi="Arial" w:cs="Arial"/>
          <w:sz w:val="24"/>
          <w:szCs w:val="24"/>
        </w:rPr>
        <w:t xml:space="preserve"> Dept. 1994). </w:t>
      </w:r>
      <w:r>
        <w:rPr>
          <w:rFonts w:ascii="Arial" w:hAnsi="Arial" w:cs="Arial"/>
          <w:i/>
          <w:iCs/>
          <w:sz w:val="24"/>
          <w:szCs w:val="24"/>
        </w:rPr>
        <w:t>But see People v. Anglin</w:t>
      </w:r>
      <w:r>
        <w:rPr>
          <w:rFonts w:ascii="Arial" w:hAnsi="Arial" w:cs="Arial"/>
          <w:sz w:val="24"/>
          <w:szCs w:val="24"/>
        </w:rPr>
        <w:t>, 136 Misc.2d 987 (Sup. Ct., Kings Co., 1987).</w:t>
      </w:r>
    </w:p>
    <w:sectPr w:rsidR="001E44A3" w:rsidSect="001E44A3">
      <w:type w:val="continuous"/>
      <w:pgSz w:w="12240" w:h="15840"/>
      <w:pgMar w:top="1420" w:right="2150" w:bottom="3924" w:left="2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1897"/>
    <w:multiLevelType w:val="singleLevel"/>
    <w:tmpl w:val="1FFBA4B9"/>
    <w:lvl w:ilvl="0">
      <w:start w:val="1"/>
      <w:numFmt w:val="decimal"/>
      <w:lvlText w:val="%1."/>
      <w:lvlJc w:val="left"/>
      <w:pPr>
        <w:tabs>
          <w:tab w:val="num" w:pos="288"/>
        </w:tabs>
      </w:pPr>
      <w:rPr>
        <w:rFonts w:ascii="Arial" w:hAnsi="Arial" w:cs="Arial"/>
        <w:snapToGrid/>
        <w:sz w:val="24"/>
        <w:szCs w:val="24"/>
      </w:rPr>
    </w:lvl>
  </w:abstractNum>
  <w:num w:numId="1">
    <w:abstractNumId w:val="0"/>
  </w:num>
  <w:num w:numId="2">
    <w:abstractNumId w:val="0"/>
    <w:lvlOverride w:ilvl="0">
      <w:lvl w:ilvl="0">
        <w:numFmt w:val="decimal"/>
        <w:lvlText w:val="%1."/>
        <w:lvlJc w:val="left"/>
        <w:pPr>
          <w:tabs>
            <w:tab w:val="num" w:pos="288"/>
          </w:tabs>
        </w:pPr>
        <w:rPr>
          <w:rFonts w:ascii="Arial" w:hAnsi="Arial" w:cs="Arial"/>
          <w:i/>
          <w:iCs/>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44A3"/>
    <w:rsid w:val="001E44A3"/>
    <w:rsid w:val="003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F3035C"/>
  <w14:defaultImageDpi w14:val="0"/>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2017-12-30T19:20:00Z</dcterms:created>
  <dcterms:modified xsi:type="dcterms:W3CDTF">2017-12-30T19:20:00Z</dcterms:modified>
</cp:coreProperties>
</file>