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EC97" w14:textId="77777777" w:rsidR="00B57282" w:rsidRDefault="002A239A">
      <w:pPr>
        <w:spacing w:before="53" w:line="378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8"/>
        </w:rPr>
      </w:pPr>
      <w:r>
        <w:rPr>
          <w:rFonts w:ascii="Arial" w:eastAsia="Arial" w:hAnsi="Arial"/>
          <w:b/>
          <w:color w:val="000000"/>
          <w:spacing w:val="-2"/>
          <w:sz w:val="28"/>
        </w:rPr>
        <w:t xml:space="preserve">EXPERT ON A CRIME VICTIM SYNDROME </w:t>
      </w:r>
      <w:r>
        <w:rPr>
          <w:rFonts w:ascii="Arial" w:eastAsia="Arial" w:hAnsi="Arial"/>
          <w:color w:val="000000"/>
          <w:spacing w:val="-2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2"/>
          <w:sz w:val="16"/>
        </w:rPr>
        <w:t xml:space="preserve"> </w:t>
      </w:r>
    </w:p>
    <w:p w14:paraId="1A11EC98" w14:textId="77777777" w:rsidR="00B57282" w:rsidRDefault="002A239A">
      <w:pPr>
        <w:spacing w:before="276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You will recall that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testified about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Syndrome and gave an opinion on such matters.</w:t>
      </w:r>
    </w:p>
    <w:p w14:paraId="1A11EC99" w14:textId="77777777" w:rsidR="00B57282" w:rsidRDefault="002A239A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Ordinarily, a witness is limited to testifying about facts and is not permitted to give an opinion. Where, however, specialized knowledge might help the jury understand evidence, a witness with expertise in a specialized field may render opinions about suc</w:t>
      </w:r>
      <w:r>
        <w:rPr>
          <w:rFonts w:ascii="Arial" w:eastAsia="Arial" w:hAnsi="Arial"/>
          <w:color w:val="000000"/>
          <w:sz w:val="28"/>
        </w:rPr>
        <w:t>h matters.</w:t>
      </w:r>
    </w:p>
    <w:p w14:paraId="1A11EC9A" w14:textId="77777777" w:rsidR="00B57282" w:rsidRDefault="002A239A">
      <w:pPr>
        <w:spacing w:before="322" w:line="242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The expert’s testimony is not offered as proof that the crime charged occurred. It is offered for you to consider in evaluating</w:t>
      </w:r>
    </w:p>
    <w:p w14:paraId="1A11EC9B" w14:textId="77777777" w:rsidR="00B57282" w:rsidRDefault="002A239A">
      <w:pPr>
        <w:spacing w:line="104" w:lineRule="exact"/>
        <w:ind w:left="2304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2</w:t>
      </w:r>
    </w:p>
    <w:p w14:paraId="1A11EC9C" w14:textId="77777777" w:rsidR="00B57282" w:rsidRDefault="002A239A">
      <w:pPr>
        <w:spacing w:before="118"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complainant’s behavior [before,] during, or after, the alleged commission of the crime.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1A11EC9D" w14:textId="77777777" w:rsidR="00B57282" w:rsidRDefault="002A239A">
      <w:pPr>
        <w:spacing w:before="26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You should evaluate the expert’s testimony just as you would the testimony of any other </w:t>
      </w:r>
      <w:proofErr w:type="gramStart"/>
      <w:r>
        <w:rPr>
          <w:rFonts w:ascii="Arial" w:eastAsia="Arial" w:hAnsi="Arial"/>
          <w:color w:val="000000"/>
          <w:sz w:val="28"/>
        </w:rPr>
        <w:t>witness.</w:t>
      </w:r>
      <w:proofErr w:type="gramEnd"/>
      <w:r>
        <w:rPr>
          <w:rFonts w:ascii="Arial" w:eastAsia="Arial" w:hAnsi="Arial"/>
          <w:color w:val="000000"/>
          <w:sz w:val="28"/>
        </w:rPr>
        <w:t xml:space="preserve"> You may accept or reject such testimony, in whole or in part, just as you may with respect to the testimony of any other witness.</w:t>
      </w:r>
    </w:p>
    <w:p w14:paraId="1A11EC9E" w14:textId="77777777" w:rsidR="00B57282" w:rsidRDefault="002A239A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In deciding </w:t>
      </w:r>
      <w:proofErr w:type="gramStart"/>
      <w:r>
        <w:rPr>
          <w:rFonts w:ascii="Arial" w:eastAsia="Arial" w:hAnsi="Arial"/>
          <w:color w:val="000000"/>
          <w:sz w:val="28"/>
        </w:rPr>
        <w:t>whether or not</w:t>
      </w:r>
      <w:proofErr w:type="gramEnd"/>
      <w:r>
        <w:rPr>
          <w:rFonts w:ascii="Arial" w:eastAsia="Arial" w:hAnsi="Arial"/>
          <w:color w:val="000000"/>
          <w:sz w:val="28"/>
        </w:rPr>
        <w:t xml:space="preserve"> to</w:t>
      </w:r>
      <w:r>
        <w:rPr>
          <w:rFonts w:ascii="Arial" w:eastAsia="Arial" w:hAnsi="Arial"/>
          <w:color w:val="000000"/>
          <w:sz w:val="28"/>
        </w:rPr>
        <w:t xml:space="preserve"> accept such testimony, you should consider the following:</w:t>
      </w:r>
    </w:p>
    <w:p w14:paraId="1A11EC9F" w14:textId="77777777" w:rsidR="00B57282" w:rsidRDefault="002A239A">
      <w:pPr>
        <w:numPr>
          <w:ilvl w:val="0"/>
          <w:numId w:val="1"/>
        </w:numPr>
        <w:tabs>
          <w:tab w:val="clear" w:pos="720"/>
          <w:tab w:val="left" w:pos="1440"/>
        </w:tabs>
        <w:spacing w:before="328" w:line="324" w:lineRule="exact"/>
        <w:ind w:left="1440" w:hanging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qualifications and believability of the witness;</w:t>
      </w:r>
    </w:p>
    <w:p w14:paraId="1A11ECA0" w14:textId="77777777" w:rsidR="00B57282" w:rsidRDefault="002A239A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facts and other circumstances upon which the witness's opinion was based;</w:t>
      </w:r>
    </w:p>
    <w:p w14:paraId="1A11ECA1" w14:textId="77777777" w:rsidR="00B57282" w:rsidRDefault="002A239A">
      <w:pPr>
        <w:numPr>
          <w:ilvl w:val="0"/>
          <w:numId w:val="1"/>
        </w:numPr>
        <w:tabs>
          <w:tab w:val="clear" w:pos="720"/>
          <w:tab w:val="left" w:pos="1440"/>
        </w:tabs>
        <w:spacing w:before="326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[the accuracy or inaccuracy of any assumed or hypothetical fact upon which the opinion was based;]</w:t>
      </w:r>
    </w:p>
    <w:p w14:paraId="1A11ECA2" w14:textId="77777777" w:rsidR="00B57282" w:rsidRDefault="002A239A">
      <w:pPr>
        <w:numPr>
          <w:ilvl w:val="0"/>
          <w:numId w:val="1"/>
        </w:numPr>
        <w:tabs>
          <w:tab w:val="clear" w:pos="720"/>
          <w:tab w:val="left" w:pos="1440"/>
        </w:tabs>
        <w:spacing w:before="320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reasons given for the witness's opinion; and</w:t>
      </w:r>
    </w:p>
    <w:p w14:paraId="1A11ECA3" w14:textId="35DFF46F" w:rsidR="00B57282" w:rsidRDefault="002A239A">
      <w:pPr>
        <w:numPr>
          <w:ilvl w:val="0"/>
          <w:numId w:val="1"/>
        </w:numPr>
        <w:tabs>
          <w:tab w:val="clear" w:pos="720"/>
          <w:tab w:val="left" w:pos="1440"/>
        </w:tabs>
        <w:spacing w:before="326" w:after="283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whether the witness's opinion is consistent or inconsistent with other evidence in the case.</w:t>
      </w:r>
    </w:p>
    <w:p w14:paraId="6BB1172B" w14:textId="77777777" w:rsidR="003E0557" w:rsidRDefault="003E0557" w:rsidP="003E0557">
      <w:pPr>
        <w:tabs>
          <w:tab w:val="left" w:pos="720"/>
          <w:tab w:val="left" w:pos="1440"/>
        </w:tabs>
        <w:spacing w:before="326" w:after="283" w:line="324" w:lineRule="exact"/>
        <w:ind w:left="144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1A11ECA6" w14:textId="19696CED" w:rsidR="00B57282" w:rsidRPr="002A239A" w:rsidRDefault="002A239A" w:rsidP="002A239A">
      <w:pPr>
        <w:spacing w:before="358"/>
        <w:ind w:right="72"/>
        <w:jc w:val="both"/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1A11ECAC">
          <v:line id="_x0000_s1026" style="position:absolute;left:0;text-align:left;z-index:251657728;mso-position-horizontal-relative:page;mso-position-vertical-relative:page" from="107.75pt,671.3pt" to="303.4pt,671.3pt" strokeweight="1.2pt">
            <w10:wrap anchorx="page" anchory="page"/>
          </v:line>
        </w:pict>
      </w:r>
      <w:r>
        <w:rPr>
          <w:rFonts w:eastAsia="Times New Roman"/>
          <w:color w:val="000000"/>
          <w:sz w:val="24"/>
        </w:rPr>
        <w:t xml:space="preserve">1. </w:t>
      </w:r>
      <w:r>
        <w:rPr>
          <w:rFonts w:ascii="Arial" w:eastAsia="Arial" w:hAnsi="Arial"/>
          <w:i/>
          <w:color w:val="000000"/>
          <w:sz w:val="24"/>
        </w:rPr>
        <w:t>People v. Taylor</w:t>
      </w:r>
      <w:r>
        <w:rPr>
          <w:rFonts w:ascii="Arial" w:eastAsia="Arial" w:hAnsi="Arial"/>
          <w:color w:val="000000"/>
          <w:sz w:val="24"/>
        </w:rPr>
        <w:t xml:space="preserve">, 75 NY2d 277 (1990) (rape trauma syndrome); </w:t>
      </w:r>
      <w:r>
        <w:rPr>
          <w:rFonts w:ascii="Arial" w:eastAsia="Arial" w:hAnsi="Arial"/>
          <w:i/>
          <w:color w:val="000000"/>
          <w:sz w:val="24"/>
        </w:rPr>
        <w:t>People v. Carroll</w:t>
      </w:r>
      <w:r>
        <w:rPr>
          <w:rFonts w:ascii="Arial" w:eastAsia="Arial" w:hAnsi="Arial"/>
          <w:color w:val="000000"/>
          <w:sz w:val="24"/>
        </w:rPr>
        <w:t>, 95 NY2d 375 (1995) (child sexual abuse accommodation</w:t>
      </w:r>
      <w:r>
        <w:rPr>
          <w:rFonts w:eastAsia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Arial" w:eastAsia="Arial" w:hAnsi="Arial"/>
          <w:color w:val="000000"/>
          <w:spacing w:val="2"/>
          <w:sz w:val="24"/>
        </w:rPr>
        <w:t xml:space="preserve">syndrome); </w:t>
      </w:r>
      <w:r>
        <w:rPr>
          <w:rFonts w:ascii="Arial" w:eastAsia="Arial" w:hAnsi="Arial"/>
          <w:i/>
          <w:color w:val="000000"/>
          <w:spacing w:val="2"/>
          <w:sz w:val="24"/>
        </w:rPr>
        <w:t>People v. Mercado</w:t>
      </w:r>
      <w:r>
        <w:rPr>
          <w:rFonts w:ascii="Arial" w:eastAsia="Arial" w:hAnsi="Arial"/>
          <w:color w:val="000000"/>
          <w:spacing w:val="2"/>
          <w:sz w:val="24"/>
        </w:rPr>
        <w:t xml:space="preserve">,188 AD2d 941 (3d Dept 1992) (child sexual abuse syndrome); </w:t>
      </w:r>
      <w:r>
        <w:rPr>
          <w:rFonts w:ascii="Arial" w:eastAsia="Arial" w:hAnsi="Arial"/>
          <w:i/>
          <w:color w:val="000000"/>
          <w:spacing w:val="2"/>
          <w:sz w:val="24"/>
        </w:rPr>
        <w:t>People v. Johnson</w:t>
      </w:r>
      <w:r>
        <w:rPr>
          <w:rFonts w:ascii="Arial" w:eastAsia="Arial" w:hAnsi="Arial"/>
          <w:color w:val="000000"/>
          <w:spacing w:val="2"/>
          <w:sz w:val="24"/>
        </w:rPr>
        <w:t>, 22 AD3</w:t>
      </w:r>
      <w:r>
        <w:rPr>
          <w:rFonts w:ascii="Arial" w:eastAsia="Arial" w:hAnsi="Arial"/>
          <w:color w:val="000000"/>
          <w:spacing w:val="2"/>
          <w:sz w:val="24"/>
        </w:rPr>
        <w:t xml:space="preserve">d 600 (2d Dept 2005) (battered woman syndrome); </w:t>
      </w:r>
      <w:r>
        <w:rPr>
          <w:rFonts w:ascii="Arial" w:eastAsia="Arial" w:hAnsi="Arial"/>
          <w:i/>
          <w:color w:val="000000"/>
          <w:spacing w:val="2"/>
          <w:sz w:val="24"/>
        </w:rPr>
        <w:t>People v. Goodman</w:t>
      </w:r>
      <w:r>
        <w:rPr>
          <w:rFonts w:ascii="Arial" w:eastAsia="Arial" w:hAnsi="Arial"/>
          <w:color w:val="000000"/>
          <w:spacing w:val="2"/>
          <w:sz w:val="24"/>
        </w:rPr>
        <w:t xml:space="preserve">, 21 AD3d 906 (2d Dept 2005) (intrafamilial child sexual abuse syndrome); </w:t>
      </w:r>
      <w:r>
        <w:rPr>
          <w:rFonts w:ascii="Arial" w:eastAsia="Arial" w:hAnsi="Arial"/>
          <w:i/>
          <w:color w:val="000000"/>
          <w:spacing w:val="2"/>
          <w:sz w:val="24"/>
        </w:rPr>
        <w:t xml:space="preserve">People v. </w:t>
      </w:r>
      <w:proofErr w:type="spellStart"/>
      <w:r>
        <w:rPr>
          <w:rFonts w:ascii="Arial" w:eastAsia="Arial" w:hAnsi="Arial"/>
          <w:i/>
          <w:color w:val="000000"/>
          <w:spacing w:val="2"/>
          <w:sz w:val="24"/>
        </w:rPr>
        <w:t>Hryckewicz</w:t>
      </w:r>
      <w:proofErr w:type="spellEnd"/>
      <w:r>
        <w:rPr>
          <w:rFonts w:ascii="Arial" w:eastAsia="Arial" w:hAnsi="Arial"/>
          <w:color w:val="000000"/>
          <w:spacing w:val="2"/>
          <w:sz w:val="24"/>
        </w:rPr>
        <w:t>, 221 AD2d 990 (4th Dept 1995) (learned helplessness syndrome).</w:t>
      </w:r>
    </w:p>
    <w:p w14:paraId="26E76981" w14:textId="77777777" w:rsidR="003E0557" w:rsidRDefault="002A239A" w:rsidP="003E0557">
      <w:pPr>
        <w:numPr>
          <w:ilvl w:val="0"/>
          <w:numId w:val="2"/>
        </w:numPr>
        <w:spacing w:before="240"/>
        <w:ind w:right="72"/>
        <w:textAlignment w:val="baseline"/>
        <w:rPr>
          <w:rFonts w:ascii="Arial" w:eastAsia="Arial" w:hAnsi="Arial"/>
          <w:i/>
          <w:color w:val="000000"/>
          <w:sz w:val="24"/>
        </w:rPr>
      </w:pPr>
      <w:r>
        <w:rPr>
          <w:rFonts w:ascii="Arial" w:eastAsia="Arial" w:hAnsi="Arial"/>
          <w:i/>
          <w:color w:val="000000"/>
          <w:sz w:val="24"/>
        </w:rPr>
        <w:t>People v. Taylor</w:t>
      </w:r>
      <w:r>
        <w:rPr>
          <w:rFonts w:ascii="Arial" w:eastAsia="Arial" w:hAnsi="Arial"/>
          <w:color w:val="000000"/>
          <w:sz w:val="24"/>
        </w:rPr>
        <w:t>, 75 NY2d 277 (19</w:t>
      </w:r>
      <w:r>
        <w:rPr>
          <w:rFonts w:ascii="Arial" w:eastAsia="Arial" w:hAnsi="Arial"/>
          <w:color w:val="000000"/>
          <w:sz w:val="24"/>
        </w:rPr>
        <w:t xml:space="preserve">90); </w:t>
      </w:r>
      <w:r>
        <w:rPr>
          <w:rFonts w:ascii="Arial" w:eastAsia="Arial" w:hAnsi="Arial"/>
          <w:i/>
          <w:color w:val="000000"/>
          <w:sz w:val="24"/>
        </w:rPr>
        <w:t>People v. Nelson</w:t>
      </w:r>
      <w:r>
        <w:rPr>
          <w:rFonts w:ascii="Arial" w:eastAsia="Arial" w:hAnsi="Arial"/>
          <w:color w:val="000000"/>
          <w:sz w:val="24"/>
        </w:rPr>
        <w:t xml:space="preserve">, 22 AD3d 769 (2d Dept 2005); </w:t>
      </w:r>
      <w:r>
        <w:rPr>
          <w:rFonts w:ascii="Arial" w:eastAsia="Arial" w:hAnsi="Arial"/>
          <w:i/>
          <w:color w:val="000000"/>
          <w:sz w:val="24"/>
        </w:rPr>
        <w:t>People v. Story</w:t>
      </w:r>
      <w:r>
        <w:rPr>
          <w:rFonts w:ascii="Arial" w:eastAsia="Arial" w:hAnsi="Arial"/>
          <w:color w:val="000000"/>
          <w:sz w:val="24"/>
        </w:rPr>
        <w:t>, 176 AD2d 1080 (3 Dept 1991).</w:t>
      </w:r>
    </w:p>
    <w:p w14:paraId="1A11ECA9" w14:textId="53A2C835" w:rsidR="00B57282" w:rsidRPr="003E0557" w:rsidRDefault="002A239A" w:rsidP="003E0557">
      <w:pPr>
        <w:numPr>
          <w:ilvl w:val="0"/>
          <w:numId w:val="2"/>
        </w:numPr>
        <w:spacing w:before="240"/>
        <w:ind w:right="72"/>
        <w:textAlignment w:val="baseline"/>
        <w:rPr>
          <w:rFonts w:ascii="Arial" w:eastAsia="Arial" w:hAnsi="Arial"/>
          <w:i/>
          <w:color w:val="000000"/>
          <w:sz w:val="24"/>
        </w:rPr>
      </w:pPr>
      <w:r w:rsidRPr="003E0557">
        <w:rPr>
          <w:rFonts w:ascii="Arial" w:eastAsia="Arial" w:hAnsi="Arial"/>
          <w:i/>
          <w:color w:val="000000"/>
          <w:sz w:val="24"/>
        </w:rPr>
        <w:t>People v. Carroll</w:t>
      </w:r>
      <w:r w:rsidRPr="003E0557">
        <w:rPr>
          <w:rFonts w:ascii="Arial" w:eastAsia="Arial" w:hAnsi="Arial"/>
          <w:color w:val="000000"/>
          <w:sz w:val="24"/>
        </w:rPr>
        <w:t xml:space="preserve">, 95 NY2d 375 (2000); </w:t>
      </w:r>
      <w:r w:rsidRPr="003E0557">
        <w:rPr>
          <w:rFonts w:ascii="Arial" w:eastAsia="Arial" w:hAnsi="Arial"/>
          <w:i/>
          <w:color w:val="000000"/>
          <w:sz w:val="24"/>
        </w:rPr>
        <w:t>People v. Taylor</w:t>
      </w:r>
      <w:r w:rsidRPr="003E0557">
        <w:rPr>
          <w:rFonts w:ascii="Arial" w:eastAsia="Arial" w:hAnsi="Arial"/>
          <w:color w:val="000000"/>
          <w:sz w:val="24"/>
        </w:rPr>
        <w:t xml:space="preserve">, 75 NY2d 277 (1990); </w:t>
      </w:r>
      <w:r w:rsidRPr="003E0557">
        <w:rPr>
          <w:rFonts w:ascii="Arial" w:eastAsia="Arial" w:hAnsi="Arial"/>
          <w:i/>
          <w:color w:val="000000"/>
          <w:sz w:val="24"/>
        </w:rPr>
        <w:t xml:space="preserve">see </w:t>
      </w:r>
      <w:r w:rsidRPr="003E0557">
        <w:rPr>
          <w:rFonts w:ascii="Arial" w:eastAsia="Arial" w:hAnsi="Arial"/>
          <w:color w:val="000000"/>
          <w:sz w:val="24"/>
        </w:rPr>
        <w:t>CJI2d [NY] Prompt Outcry.</w:t>
      </w:r>
    </w:p>
    <w:p w14:paraId="1A11ECAA" w14:textId="77777777" w:rsidR="00B57282" w:rsidRDefault="00B57282">
      <w:pPr>
        <w:spacing w:before="358" w:after="9424" w:line="279" w:lineRule="exact"/>
        <w:sectPr w:rsidR="00B57282">
          <w:pgSz w:w="12240" w:h="15840"/>
          <w:pgMar w:top="1440" w:right="2157" w:bottom="1024" w:left="2143" w:header="720" w:footer="720" w:gutter="0"/>
          <w:cols w:space="720"/>
        </w:sectPr>
      </w:pPr>
    </w:p>
    <w:p w14:paraId="1A11ECAB" w14:textId="77777777" w:rsidR="00B57282" w:rsidRDefault="002A239A">
      <w:pPr>
        <w:spacing w:line="272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2</w:t>
      </w:r>
    </w:p>
    <w:sectPr w:rsidR="00B57282">
      <w:type w:val="continuous"/>
      <w:pgSz w:w="12240" w:h="15840"/>
      <w:pgMar w:top="1440" w:right="2150" w:bottom="1024" w:left="2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026"/>
    <w:multiLevelType w:val="multilevel"/>
    <w:tmpl w:val="5574B47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i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D7FC2"/>
    <w:multiLevelType w:val="multilevel"/>
    <w:tmpl w:val="FF90EAF2"/>
    <w:lvl w:ilvl="0">
      <w:start w:val="1"/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6835"/>
    <w:multiLevelType w:val="multilevel"/>
    <w:tmpl w:val="EBC2173E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i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282"/>
    <w:rsid w:val="002A239A"/>
    <w:rsid w:val="003E0557"/>
    <w:rsid w:val="00B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11EC97"/>
  <w15:docId w15:val="{CCDD7DAC-AEB9-45C9-B7B0-1EF0E5F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3</cp:revision>
  <dcterms:created xsi:type="dcterms:W3CDTF">2017-12-30T20:12:00Z</dcterms:created>
  <dcterms:modified xsi:type="dcterms:W3CDTF">2017-12-30T20:13:00Z</dcterms:modified>
</cp:coreProperties>
</file>