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EE4EB" w14:textId="77777777" w:rsidR="009B75A5" w:rsidRPr="001B0408" w:rsidRDefault="001B0408">
      <w:pPr>
        <w:spacing w:before="18" w:line="317" w:lineRule="exact"/>
        <w:jc w:val="center"/>
        <w:textAlignment w:val="baseline"/>
        <w:rPr>
          <w:rFonts w:ascii="Arial" w:eastAsia="Arial" w:hAnsi="Arial"/>
          <w:b/>
          <w:color w:val="000000"/>
          <w:spacing w:val="2"/>
          <w:sz w:val="28"/>
        </w:rPr>
      </w:pPr>
      <w:r w:rsidRPr="001B0408">
        <w:rPr>
          <w:rFonts w:ascii="Arial" w:eastAsia="Arial" w:hAnsi="Arial"/>
          <w:b/>
          <w:color w:val="000000"/>
          <w:spacing w:val="2"/>
          <w:sz w:val="28"/>
        </w:rPr>
        <w:t>A PARTY'S FAILURE TO CALL A WITNESS</w:t>
      </w:r>
    </w:p>
    <w:p w14:paraId="4E2EE4EC" w14:textId="77777777" w:rsidR="009B75A5" w:rsidRDefault="001B0408">
      <w:pPr>
        <w:spacing w:before="331" w:line="321" w:lineRule="exact"/>
        <w:ind w:firstLine="720"/>
        <w:jc w:val="both"/>
        <w:textAlignment w:val="baseline"/>
        <w:rPr>
          <w:rFonts w:ascii="Arial" w:eastAsia="Arial" w:hAnsi="Arial"/>
          <w:color w:val="000000"/>
          <w:sz w:val="28"/>
        </w:rPr>
      </w:pPr>
      <w:r>
        <w:rPr>
          <w:rFonts w:ascii="Arial" w:eastAsia="Arial" w:hAnsi="Arial"/>
          <w:color w:val="000000"/>
          <w:sz w:val="28"/>
        </w:rPr>
        <w:t xml:space="preserve">One of the issues in the case is </w:t>
      </w:r>
      <w:r>
        <w:rPr>
          <w:rFonts w:ascii="Arial" w:eastAsia="Arial" w:hAnsi="Arial"/>
          <w:color w:val="000000"/>
          <w:sz w:val="29"/>
          <w:u w:val="single"/>
        </w:rPr>
        <w:t>(</w:t>
      </w:r>
      <w:r>
        <w:rPr>
          <w:rFonts w:ascii="Arial" w:eastAsia="Arial" w:hAnsi="Arial"/>
          <w:i/>
          <w:color w:val="000000"/>
          <w:sz w:val="28"/>
          <w:u w:val="single"/>
        </w:rPr>
        <w:t xml:space="preserve">specify; e.g., whether the defendant has been correctly identified as the person who committed the charged crime). </w:t>
      </w:r>
    </w:p>
    <w:p w14:paraId="4E2EE4ED" w14:textId="77777777" w:rsidR="009B75A5" w:rsidRDefault="001B0408">
      <w:pPr>
        <w:spacing w:before="329" w:line="321" w:lineRule="exact"/>
        <w:ind w:left="720"/>
        <w:textAlignment w:val="baseline"/>
        <w:rPr>
          <w:rFonts w:ascii="Arial" w:eastAsia="Arial" w:hAnsi="Arial"/>
          <w:color w:val="000000"/>
          <w:sz w:val="28"/>
        </w:rPr>
      </w:pPr>
      <w:r>
        <w:rPr>
          <w:rFonts w:ascii="Arial" w:eastAsia="Arial" w:hAnsi="Arial"/>
          <w:color w:val="000000"/>
          <w:sz w:val="28"/>
        </w:rPr>
        <w:t xml:space="preserve">On that issue, you have heard the testimony of: </w:t>
      </w:r>
      <w:r>
        <w:rPr>
          <w:rFonts w:ascii="Arial" w:eastAsia="Arial" w:hAnsi="Arial"/>
          <w:color w:val="000000"/>
          <w:sz w:val="29"/>
          <w:u w:val="single"/>
        </w:rPr>
        <w:t>(</w:t>
      </w:r>
      <w:r>
        <w:rPr>
          <w:rFonts w:ascii="Arial" w:eastAsia="Arial" w:hAnsi="Arial"/>
          <w:i/>
          <w:color w:val="000000"/>
          <w:sz w:val="28"/>
          <w:u w:val="single"/>
        </w:rPr>
        <w:t>specify</w:t>
      </w:r>
      <w:r>
        <w:rPr>
          <w:rFonts w:ascii="Arial" w:eastAsia="Arial" w:hAnsi="Arial"/>
          <w:color w:val="000000"/>
          <w:sz w:val="29"/>
          <w:u w:val="single"/>
        </w:rPr>
        <w:t>).</w:t>
      </w:r>
      <w:r>
        <w:rPr>
          <w:rFonts w:ascii="Arial" w:eastAsia="Arial" w:hAnsi="Arial"/>
          <w:color w:val="000000"/>
          <w:sz w:val="28"/>
        </w:rPr>
        <w:t xml:space="preserve"> </w:t>
      </w:r>
    </w:p>
    <w:p w14:paraId="4E2EE4EE" w14:textId="77777777" w:rsidR="009B75A5" w:rsidRDefault="001B0408">
      <w:pPr>
        <w:spacing w:before="326" w:line="317" w:lineRule="exact"/>
        <w:ind w:left="720"/>
        <w:textAlignment w:val="baseline"/>
        <w:rPr>
          <w:rFonts w:ascii="Arial" w:eastAsia="Arial" w:hAnsi="Arial"/>
          <w:color w:val="000000"/>
          <w:spacing w:val="7"/>
          <w:sz w:val="28"/>
        </w:rPr>
      </w:pPr>
      <w:r>
        <w:rPr>
          <w:rFonts w:ascii="Arial" w:eastAsia="Arial" w:hAnsi="Arial"/>
          <w:color w:val="000000"/>
          <w:spacing w:val="7"/>
          <w:sz w:val="28"/>
        </w:rPr>
        <w:t>The (People/defense) contend(s) that another person,</w:t>
      </w:r>
    </w:p>
    <w:p w14:paraId="4E2EE4EF" w14:textId="77777777" w:rsidR="009B75A5" w:rsidRDefault="001B0408">
      <w:pPr>
        <w:tabs>
          <w:tab w:val="right" w:pos="7920"/>
        </w:tabs>
        <w:spacing w:before="11" w:line="321" w:lineRule="exact"/>
        <w:jc w:val="both"/>
        <w:textAlignment w:val="baseline"/>
        <w:rPr>
          <w:rFonts w:ascii="Arial" w:eastAsia="Arial" w:hAnsi="Arial"/>
          <w:color w:val="000000"/>
          <w:sz w:val="29"/>
          <w:u w:val="single"/>
        </w:rPr>
      </w:pPr>
      <w:r>
        <w:rPr>
          <w:rFonts w:ascii="Arial" w:eastAsia="Arial" w:hAnsi="Arial"/>
          <w:color w:val="000000"/>
          <w:sz w:val="29"/>
          <w:u w:val="single"/>
        </w:rPr>
        <w:t>(</w:t>
      </w:r>
      <w:r>
        <w:rPr>
          <w:rFonts w:ascii="Arial" w:eastAsia="Arial" w:hAnsi="Arial"/>
          <w:i/>
          <w:color w:val="000000"/>
          <w:sz w:val="28"/>
          <w:u w:val="single"/>
        </w:rPr>
        <w:t>specify</w:t>
      </w:r>
      <w:r>
        <w:rPr>
          <w:rFonts w:ascii="Arial" w:eastAsia="Arial" w:hAnsi="Arial"/>
          <w:color w:val="000000"/>
          <w:sz w:val="29"/>
          <w:u w:val="single"/>
        </w:rPr>
        <w:t>),</w:t>
      </w:r>
      <w:r>
        <w:rPr>
          <w:rFonts w:ascii="Arial" w:eastAsia="Arial" w:hAnsi="Arial"/>
          <w:color w:val="000000"/>
          <w:sz w:val="28"/>
        </w:rPr>
        <w:t xml:space="preserve"> has knowledge relevant to that issue.</w:t>
      </w:r>
      <w:r>
        <w:rPr>
          <w:rFonts w:ascii="Arial" w:eastAsia="Arial" w:hAnsi="Arial"/>
          <w:color w:val="000000"/>
          <w:sz w:val="28"/>
        </w:rPr>
        <w:tab/>
        <w:t xml:space="preserve">The </w:t>
      </w:r>
      <w:r>
        <w:rPr>
          <w:rFonts w:ascii="Arial" w:eastAsia="Arial" w:hAnsi="Arial"/>
          <w:color w:val="000000"/>
          <w:sz w:val="28"/>
        </w:rPr>
        <w:br/>
        <w:t xml:space="preserve">(People/defense) did not call </w:t>
      </w:r>
      <w:r>
        <w:rPr>
          <w:rFonts w:ascii="Arial" w:eastAsia="Arial" w:hAnsi="Arial"/>
          <w:color w:val="000000"/>
          <w:sz w:val="29"/>
          <w:u w:val="single"/>
        </w:rPr>
        <w:t>(</w:t>
      </w:r>
      <w:r>
        <w:rPr>
          <w:rFonts w:ascii="Arial" w:eastAsia="Arial" w:hAnsi="Arial"/>
          <w:i/>
          <w:color w:val="000000"/>
          <w:sz w:val="28"/>
          <w:u w:val="single"/>
        </w:rPr>
        <w:t>specify</w:t>
      </w:r>
      <w:r>
        <w:rPr>
          <w:rFonts w:ascii="Arial" w:eastAsia="Arial" w:hAnsi="Arial"/>
          <w:color w:val="000000"/>
          <w:sz w:val="29"/>
          <w:u w:val="single"/>
        </w:rPr>
        <w:t>)</w:t>
      </w:r>
      <w:r>
        <w:rPr>
          <w:rFonts w:ascii="Arial" w:eastAsia="Arial" w:hAnsi="Arial"/>
          <w:color w:val="000000"/>
          <w:sz w:val="28"/>
        </w:rPr>
        <w:t xml:space="preserve"> as a witness.</w:t>
      </w:r>
    </w:p>
    <w:p w14:paraId="4E2EE4F0" w14:textId="77777777" w:rsidR="009B75A5" w:rsidRDefault="001B0408">
      <w:pPr>
        <w:spacing w:before="328" w:line="266" w:lineRule="exact"/>
        <w:ind w:firstLine="720"/>
        <w:jc w:val="both"/>
        <w:textAlignment w:val="baseline"/>
        <w:rPr>
          <w:rFonts w:ascii="Arial" w:eastAsia="Arial" w:hAnsi="Arial"/>
          <w:color w:val="000000"/>
          <w:sz w:val="28"/>
        </w:rPr>
      </w:pPr>
      <w:r>
        <w:rPr>
          <w:rFonts w:ascii="Arial" w:eastAsia="Arial" w:hAnsi="Arial"/>
          <w:color w:val="000000"/>
          <w:sz w:val="28"/>
        </w:rPr>
        <w:t xml:space="preserve">The fact that </w:t>
      </w:r>
      <w:r>
        <w:rPr>
          <w:rFonts w:ascii="Arial" w:eastAsia="Arial" w:hAnsi="Arial"/>
          <w:i/>
          <w:color w:val="000000"/>
          <w:sz w:val="28"/>
          <w:u w:val="single"/>
        </w:rPr>
        <w:t>(specify)</w:t>
      </w:r>
      <w:r>
        <w:rPr>
          <w:rFonts w:ascii="Arial" w:eastAsia="Arial" w:hAnsi="Arial"/>
          <w:color w:val="000000"/>
          <w:sz w:val="28"/>
        </w:rPr>
        <w:t xml:space="preserve"> was not called as a witness permits, but does not require, an inference that had he/she been called his/her testimony would not have supported the</w:t>
      </w:r>
    </w:p>
    <w:p w14:paraId="4E2EE4F1" w14:textId="77777777" w:rsidR="009B75A5" w:rsidRDefault="001B0408">
      <w:pPr>
        <w:spacing w:line="18" w:lineRule="exact"/>
        <w:ind w:left="7056"/>
        <w:textAlignment w:val="baseline"/>
        <w:rPr>
          <w:rFonts w:ascii="Arial" w:eastAsia="Arial" w:hAnsi="Arial"/>
          <w:color w:val="000000"/>
          <w:sz w:val="16"/>
        </w:rPr>
      </w:pPr>
      <w:r>
        <w:rPr>
          <w:rFonts w:ascii="Arial" w:eastAsia="Arial" w:hAnsi="Arial"/>
          <w:color w:val="000000"/>
          <w:sz w:val="16"/>
        </w:rPr>
        <w:t>1</w:t>
      </w:r>
    </w:p>
    <w:p w14:paraId="4E2EE4F2" w14:textId="77777777" w:rsidR="009B75A5" w:rsidRDefault="001B0408">
      <w:pPr>
        <w:spacing w:before="152" w:line="317" w:lineRule="exact"/>
        <w:textAlignment w:val="baseline"/>
        <w:rPr>
          <w:rFonts w:ascii="Arial" w:eastAsia="Arial" w:hAnsi="Arial"/>
          <w:color w:val="000000"/>
          <w:sz w:val="28"/>
        </w:rPr>
      </w:pPr>
      <w:r>
        <w:rPr>
          <w:rFonts w:ascii="Arial" w:eastAsia="Arial" w:hAnsi="Arial"/>
          <w:color w:val="000000"/>
          <w:sz w:val="28"/>
        </w:rPr>
        <w:t>(People’s/defense’s) position on that issue.</w:t>
      </w:r>
    </w:p>
    <w:p w14:paraId="4E2EE4F3" w14:textId="77777777" w:rsidR="009B75A5" w:rsidRDefault="001B0408">
      <w:pPr>
        <w:spacing w:before="329" w:line="320" w:lineRule="exact"/>
        <w:ind w:firstLine="720"/>
        <w:jc w:val="both"/>
        <w:textAlignment w:val="baseline"/>
        <w:rPr>
          <w:rFonts w:ascii="Arial" w:eastAsia="Arial" w:hAnsi="Arial"/>
          <w:i/>
          <w:color w:val="000000"/>
          <w:sz w:val="28"/>
        </w:rPr>
      </w:pPr>
      <w:r>
        <w:rPr>
          <w:rFonts w:ascii="Arial" w:eastAsia="Arial" w:hAnsi="Arial"/>
          <w:i/>
          <w:color w:val="000000"/>
          <w:sz w:val="28"/>
        </w:rPr>
        <w:t xml:space="preserve">[NOTE: If in the evidence presented to the jury, an explanation for the failure to call the witness was offered, or one or more of the factors warranting the missing witness charge is in issue, then the change may continue as follows: </w:t>
      </w:r>
      <w:r>
        <w:rPr>
          <w:rFonts w:ascii="Arial" w:eastAsia="Arial" w:hAnsi="Arial"/>
          <w:i/>
          <w:color w:val="000000"/>
          <w:sz w:val="28"/>
          <w:vertAlign w:val="superscript"/>
        </w:rPr>
        <w:t>2</w:t>
      </w:r>
      <w:r>
        <w:rPr>
          <w:rFonts w:ascii="Arial" w:eastAsia="Arial" w:hAnsi="Arial"/>
          <w:i/>
          <w:color w:val="000000"/>
          <w:sz w:val="16"/>
        </w:rPr>
        <w:t xml:space="preserve"> </w:t>
      </w:r>
    </w:p>
    <w:p w14:paraId="4E2EE4F4" w14:textId="77777777" w:rsidR="009B75A5" w:rsidRDefault="001B0408">
      <w:pPr>
        <w:spacing w:before="324" w:line="327" w:lineRule="exact"/>
        <w:ind w:firstLine="720"/>
        <w:jc w:val="both"/>
        <w:textAlignment w:val="baseline"/>
        <w:rPr>
          <w:rFonts w:ascii="Arial" w:eastAsia="Arial" w:hAnsi="Arial"/>
          <w:color w:val="000000"/>
          <w:sz w:val="28"/>
        </w:rPr>
      </w:pPr>
      <w:r>
        <w:rPr>
          <w:rFonts w:ascii="Arial" w:eastAsia="Arial" w:hAnsi="Arial"/>
          <w:color w:val="000000"/>
          <w:sz w:val="28"/>
        </w:rPr>
        <w:t>Before you are permitted to draw that inference, however, you must be satisfied:</w:t>
      </w:r>
    </w:p>
    <w:p w14:paraId="4E2EE4F5" w14:textId="77777777" w:rsidR="009B75A5" w:rsidRDefault="001B0408">
      <w:pPr>
        <w:numPr>
          <w:ilvl w:val="0"/>
          <w:numId w:val="1"/>
        </w:numPr>
        <w:tabs>
          <w:tab w:val="clear" w:pos="360"/>
          <w:tab w:val="left" w:pos="1080"/>
        </w:tabs>
        <w:spacing w:line="236" w:lineRule="exact"/>
        <w:ind w:left="720"/>
        <w:textAlignment w:val="baseline"/>
        <w:rPr>
          <w:rFonts w:ascii="Arial" w:eastAsia="Arial" w:hAnsi="Arial"/>
          <w:color w:val="000000"/>
          <w:spacing w:val="-2"/>
          <w:sz w:val="28"/>
        </w:rPr>
      </w:pPr>
      <w:r>
        <w:rPr>
          <w:rFonts w:ascii="Arial" w:eastAsia="Arial" w:hAnsi="Arial"/>
          <w:color w:val="000000"/>
          <w:spacing w:val="-2"/>
          <w:sz w:val="28"/>
        </w:rPr>
        <w:t xml:space="preserve">That </w:t>
      </w:r>
      <w:r>
        <w:rPr>
          <w:rFonts w:ascii="Arial" w:eastAsia="Arial" w:hAnsi="Arial"/>
          <w:i/>
          <w:color w:val="000000"/>
          <w:spacing w:val="-2"/>
          <w:sz w:val="28"/>
          <w:u w:val="single"/>
        </w:rPr>
        <w:t xml:space="preserve">(specify) </w:t>
      </w:r>
      <w:r>
        <w:rPr>
          <w:rFonts w:ascii="Arial" w:eastAsia="Arial" w:hAnsi="Arial"/>
          <w:color w:val="000000"/>
          <w:spacing w:val="-2"/>
          <w:sz w:val="29"/>
          <w:u w:val="single"/>
        </w:rPr>
        <w:t>has</w:t>
      </w:r>
      <w:r>
        <w:rPr>
          <w:rFonts w:ascii="Arial" w:eastAsia="Arial" w:hAnsi="Arial"/>
          <w:color w:val="000000"/>
          <w:spacing w:val="-2"/>
          <w:sz w:val="28"/>
        </w:rPr>
        <w:t xml:space="preserve"> material knowledge about that issue;</w:t>
      </w:r>
    </w:p>
    <w:p w14:paraId="4E2EE4F6" w14:textId="77777777" w:rsidR="009B75A5" w:rsidRDefault="001B0408">
      <w:pPr>
        <w:spacing w:before="318" w:line="94" w:lineRule="exact"/>
        <w:ind w:left="2736"/>
        <w:textAlignment w:val="baseline"/>
        <w:rPr>
          <w:rFonts w:ascii="Arial" w:eastAsia="Arial" w:hAnsi="Arial"/>
          <w:color w:val="000000"/>
          <w:sz w:val="16"/>
        </w:rPr>
      </w:pPr>
      <w:r>
        <w:rPr>
          <w:rFonts w:ascii="Arial" w:eastAsia="Arial" w:hAnsi="Arial"/>
          <w:color w:val="000000"/>
          <w:sz w:val="16"/>
        </w:rPr>
        <w:t>3</w:t>
      </w:r>
    </w:p>
    <w:p w14:paraId="4E2EE4F7" w14:textId="77777777" w:rsidR="009B75A5" w:rsidRDefault="001B0408">
      <w:pPr>
        <w:numPr>
          <w:ilvl w:val="0"/>
          <w:numId w:val="1"/>
        </w:numPr>
        <w:tabs>
          <w:tab w:val="clear" w:pos="360"/>
          <w:tab w:val="left" w:pos="1080"/>
        </w:tabs>
        <w:spacing w:before="330" w:line="319" w:lineRule="exact"/>
        <w:ind w:left="720"/>
        <w:jc w:val="both"/>
        <w:textAlignment w:val="baseline"/>
        <w:rPr>
          <w:rFonts w:ascii="Arial" w:eastAsia="Arial" w:hAnsi="Arial"/>
          <w:color w:val="000000"/>
          <w:sz w:val="28"/>
        </w:rPr>
      </w:pPr>
      <w:r>
        <w:rPr>
          <w:rFonts w:ascii="Arial" w:eastAsia="Arial" w:hAnsi="Arial"/>
          <w:color w:val="000000"/>
          <w:sz w:val="28"/>
        </w:rPr>
        <w:t>That he/she is in the control of the (People/defense) in that, if called, he/she would be expected to testify favorably for the (People/defense).</w:t>
      </w:r>
      <w:r>
        <w:rPr>
          <w:rFonts w:ascii="Arial" w:eastAsia="Arial" w:hAnsi="Arial"/>
          <w:color w:val="000000"/>
          <w:sz w:val="28"/>
          <w:vertAlign w:val="superscript"/>
        </w:rPr>
        <w:t>4</w:t>
      </w:r>
      <w:r>
        <w:rPr>
          <w:rFonts w:ascii="Arial" w:eastAsia="Arial" w:hAnsi="Arial"/>
          <w:color w:val="000000"/>
          <w:sz w:val="16"/>
        </w:rPr>
        <w:t xml:space="preserve"> </w:t>
      </w:r>
    </w:p>
    <w:p w14:paraId="4E2EE4F8" w14:textId="77777777" w:rsidR="009B75A5" w:rsidRDefault="001B0408">
      <w:pPr>
        <w:numPr>
          <w:ilvl w:val="0"/>
          <w:numId w:val="1"/>
        </w:numPr>
        <w:tabs>
          <w:tab w:val="clear" w:pos="360"/>
          <w:tab w:val="left" w:pos="1080"/>
        </w:tabs>
        <w:spacing w:before="326" w:line="326" w:lineRule="exact"/>
        <w:ind w:left="720"/>
        <w:jc w:val="both"/>
        <w:textAlignment w:val="baseline"/>
        <w:rPr>
          <w:rFonts w:ascii="Arial" w:eastAsia="Arial" w:hAnsi="Arial"/>
          <w:color w:val="000000"/>
          <w:sz w:val="28"/>
        </w:rPr>
      </w:pPr>
      <w:r>
        <w:rPr>
          <w:rFonts w:ascii="Arial" w:eastAsia="Arial" w:hAnsi="Arial"/>
          <w:color w:val="000000"/>
          <w:sz w:val="28"/>
        </w:rPr>
        <w:t>That his/her testimony would not have been merely cumulative to other testimony or evidence in the case;</w:t>
      </w:r>
    </w:p>
    <w:p w14:paraId="4E2EE4F9" w14:textId="77777777" w:rsidR="009B75A5" w:rsidRDefault="001B0408">
      <w:pPr>
        <w:numPr>
          <w:ilvl w:val="0"/>
          <w:numId w:val="1"/>
        </w:numPr>
        <w:tabs>
          <w:tab w:val="clear" w:pos="360"/>
          <w:tab w:val="left" w:pos="1080"/>
        </w:tabs>
        <w:spacing w:before="324" w:line="324" w:lineRule="exact"/>
        <w:ind w:left="720"/>
        <w:jc w:val="both"/>
        <w:textAlignment w:val="baseline"/>
        <w:rPr>
          <w:rFonts w:ascii="Arial" w:eastAsia="Arial" w:hAnsi="Arial"/>
          <w:color w:val="000000"/>
          <w:sz w:val="28"/>
        </w:rPr>
      </w:pPr>
      <w:r>
        <w:rPr>
          <w:rFonts w:ascii="Arial" w:eastAsia="Arial" w:hAnsi="Arial"/>
          <w:color w:val="000000"/>
          <w:sz w:val="28"/>
        </w:rPr>
        <w:t>That he/she was available to be produced and called by the (People/defense) as a witness at this trial.</w:t>
      </w:r>
      <w:r>
        <w:rPr>
          <w:rFonts w:ascii="Arial" w:eastAsia="Arial" w:hAnsi="Arial"/>
          <w:color w:val="000000"/>
          <w:sz w:val="28"/>
          <w:vertAlign w:val="superscript"/>
        </w:rPr>
        <w:t>5</w:t>
      </w:r>
      <w:r>
        <w:rPr>
          <w:rFonts w:ascii="Arial" w:eastAsia="Arial" w:hAnsi="Arial"/>
          <w:color w:val="000000"/>
          <w:sz w:val="16"/>
        </w:rPr>
        <w:t xml:space="preserve"> </w:t>
      </w:r>
    </w:p>
    <w:p w14:paraId="4E2EE4FA" w14:textId="77777777" w:rsidR="009B75A5" w:rsidRDefault="001B0408">
      <w:pPr>
        <w:spacing w:before="331" w:line="321" w:lineRule="exact"/>
        <w:ind w:firstLine="720"/>
        <w:jc w:val="both"/>
        <w:textAlignment w:val="baseline"/>
        <w:rPr>
          <w:rFonts w:ascii="Arial" w:eastAsia="Arial" w:hAnsi="Arial"/>
          <w:color w:val="000000"/>
          <w:spacing w:val="-4"/>
          <w:sz w:val="28"/>
        </w:rPr>
      </w:pPr>
      <w:r>
        <w:rPr>
          <w:rFonts w:ascii="Arial" w:eastAsia="Arial" w:hAnsi="Arial"/>
          <w:color w:val="000000"/>
          <w:spacing w:val="-4"/>
          <w:sz w:val="28"/>
        </w:rPr>
        <w:t xml:space="preserve">If you are not satisfied of each of those facts, then you must not consider the fact that the People/defense did not call </w:t>
      </w:r>
      <w:r>
        <w:rPr>
          <w:rFonts w:ascii="Arial" w:eastAsia="Arial" w:hAnsi="Arial"/>
          <w:color w:val="000000"/>
          <w:spacing w:val="-4"/>
          <w:sz w:val="29"/>
          <w:u w:val="single"/>
        </w:rPr>
        <w:t>(</w:t>
      </w:r>
      <w:r>
        <w:rPr>
          <w:rFonts w:ascii="Arial" w:eastAsia="Arial" w:hAnsi="Arial"/>
          <w:i/>
          <w:color w:val="000000"/>
          <w:spacing w:val="-4"/>
          <w:sz w:val="28"/>
          <w:u w:val="single"/>
        </w:rPr>
        <w:t>specify</w:t>
      </w:r>
      <w:r>
        <w:rPr>
          <w:rFonts w:ascii="Arial" w:eastAsia="Arial" w:hAnsi="Arial"/>
          <w:color w:val="000000"/>
          <w:spacing w:val="-4"/>
          <w:sz w:val="29"/>
          <w:u w:val="single"/>
        </w:rPr>
        <w:t>)</w:t>
      </w:r>
      <w:r>
        <w:rPr>
          <w:rFonts w:ascii="Arial" w:eastAsia="Arial" w:hAnsi="Arial"/>
          <w:color w:val="000000"/>
          <w:spacing w:val="-4"/>
          <w:sz w:val="28"/>
        </w:rPr>
        <w:t xml:space="preserve"> to testify. On the other hand, if you are satisfied of those facts,</w:t>
      </w:r>
    </w:p>
    <w:p w14:paraId="4E2EE4FB" w14:textId="77777777" w:rsidR="009B75A5" w:rsidRDefault="009B75A5">
      <w:pPr>
        <w:sectPr w:rsidR="009B75A5">
          <w:pgSz w:w="12240" w:h="15840"/>
          <w:pgMar w:top="1440" w:right="2140" w:bottom="1044" w:left="2160" w:header="720" w:footer="720" w:gutter="0"/>
          <w:cols w:space="720"/>
        </w:sectPr>
      </w:pPr>
    </w:p>
    <w:p w14:paraId="4E2EE4FC" w14:textId="77777777" w:rsidR="009B75A5" w:rsidRDefault="001B0408">
      <w:pPr>
        <w:spacing w:before="5" w:line="323" w:lineRule="exact"/>
        <w:jc w:val="both"/>
        <w:textAlignment w:val="baseline"/>
        <w:rPr>
          <w:rFonts w:ascii="Arial" w:eastAsia="Arial" w:hAnsi="Arial"/>
          <w:color w:val="000000"/>
          <w:sz w:val="28"/>
        </w:rPr>
      </w:pPr>
      <w:r>
        <w:rPr>
          <w:rFonts w:ascii="Arial" w:eastAsia="Arial" w:hAnsi="Arial"/>
          <w:color w:val="000000"/>
          <w:sz w:val="28"/>
        </w:rPr>
        <w:lastRenderedPageBreak/>
        <w:t xml:space="preserve">then our law permits but does not require you to infer that, had </w:t>
      </w:r>
      <w:r>
        <w:rPr>
          <w:rFonts w:ascii="Arial" w:eastAsia="Arial" w:hAnsi="Arial"/>
          <w:color w:val="000000"/>
          <w:sz w:val="28"/>
          <w:u w:val="single"/>
        </w:rPr>
        <w:t>(</w:t>
      </w:r>
      <w:r>
        <w:rPr>
          <w:rFonts w:ascii="Arial" w:eastAsia="Arial" w:hAnsi="Arial"/>
          <w:i/>
          <w:color w:val="000000"/>
          <w:sz w:val="28"/>
          <w:u w:val="single"/>
        </w:rPr>
        <w:t>specify</w:t>
      </w:r>
      <w:r>
        <w:rPr>
          <w:rFonts w:ascii="Arial" w:eastAsia="Arial" w:hAnsi="Arial"/>
          <w:color w:val="000000"/>
          <w:sz w:val="28"/>
          <w:u w:val="single"/>
        </w:rPr>
        <w:t>)</w:t>
      </w:r>
      <w:r>
        <w:rPr>
          <w:rFonts w:ascii="Arial" w:eastAsia="Arial" w:hAnsi="Arial"/>
          <w:color w:val="000000"/>
          <w:sz w:val="28"/>
        </w:rPr>
        <w:t xml:space="preserve"> testified, his/her testimony would not have supported</w:t>
      </w:r>
      <w:r>
        <w:rPr>
          <w:rFonts w:ascii="Arial" w:eastAsia="Arial" w:hAnsi="Arial"/>
          <w:color w:val="000000"/>
          <w:sz w:val="28"/>
          <w:vertAlign w:val="superscript"/>
        </w:rPr>
        <w:t>6</w:t>
      </w:r>
      <w:r>
        <w:rPr>
          <w:rFonts w:ascii="Arial" w:eastAsia="Arial" w:hAnsi="Arial"/>
          <w:color w:val="000000"/>
          <w:sz w:val="16"/>
        </w:rPr>
        <w:t xml:space="preserve"> </w:t>
      </w:r>
      <w:r>
        <w:rPr>
          <w:rFonts w:ascii="Arial" w:eastAsia="Arial" w:hAnsi="Arial"/>
          <w:color w:val="000000"/>
          <w:sz w:val="28"/>
        </w:rPr>
        <w:t>the (People’s/defense’s) position on that issue.]</w:t>
      </w:r>
    </w:p>
    <w:p w14:paraId="4E2EE4FD" w14:textId="77777777" w:rsidR="009B75A5" w:rsidRDefault="001B0408">
      <w:pPr>
        <w:spacing w:before="335" w:line="319" w:lineRule="exact"/>
        <w:textAlignment w:val="baseline"/>
        <w:rPr>
          <w:rFonts w:ascii="Arial" w:eastAsia="Arial" w:hAnsi="Arial"/>
          <w:i/>
          <w:color w:val="000000"/>
          <w:spacing w:val="1"/>
          <w:sz w:val="28"/>
          <w:u w:val="single"/>
        </w:rPr>
      </w:pPr>
      <w:r>
        <w:rPr>
          <w:rFonts w:ascii="Arial" w:eastAsia="Arial" w:hAnsi="Arial"/>
          <w:i/>
          <w:color w:val="000000"/>
          <w:spacing w:val="1"/>
          <w:sz w:val="28"/>
          <w:u w:val="single"/>
        </w:rPr>
        <w:t>Add if the inference is on the defendant's case:</w:t>
      </w:r>
    </w:p>
    <w:p w14:paraId="4E2EE4FE" w14:textId="77777777" w:rsidR="009B75A5" w:rsidRDefault="001B0408">
      <w:pPr>
        <w:spacing w:before="320" w:after="9446" w:line="323" w:lineRule="exact"/>
        <w:ind w:firstLine="720"/>
        <w:jc w:val="both"/>
        <w:textAlignment w:val="baseline"/>
        <w:rPr>
          <w:rFonts w:ascii="Arial" w:eastAsia="Arial" w:hAnsi="Arial"/>
          <w:color w:val="000000"/>
          <w:sz w:val="28"/>
        </w:rPr>
      </w:pPr>
      <w:r>
        <w:rPr>
          <w:rFonts w:ascii="Arial" w:eastAsia="Arial" w:hAnsi="Arial"/>
          <w:color w:val="000000"/>
          <w:sz w:val="28"/>
        </w:rPr>
        <w:t>Keep in mind that the drawing of this inference, if you decide to draw it, does not shift the burden of proof to the defendant. The People always retain the burden of proving the defendant guilty beyond a reasonable doubt.</w:t>
      </w:r>
    </w:p>
    <w:p w14:paraId="4E2EE4FF" w14:textId="77777777" w:rsidR="009B75A5" w:rsidRDefault="009B75A5">
      <w:pPr>
        <w:spacing w:before="320" w:after="9446" w:line="323" w:lineRule="exact"/>
        <w:sectPr w:rsidR="009B75A5">
          <w:pgSz w:w="12240" w:h="15840"/>
          <w:pgMar w:top="1440" w:right="2157" w:bottom="1024" w:left="2143" w:header="720" w:footer="720" w:gutter="0"/>
          <w:cols w:space="720"/>
        </w:sectPr>
      </w:pPr>
    </w:p>
    <w:p w14:paraId="4E2EE500" w14:textId="77777777" w:rsidR="009B75A5" w:rsidRDefault="001B0408">
      <w:pPr>
        <w:spacing w:line="265" w:lineRule="exact"/>
        <w:jc w:val="center"/>
        <w:textAlignment w:val="baseline"/>
        <w:rPr>
          <w:rFonts w:eastAsia="Times New Roman"/>
          <w:color w:val="000000"/>
          <w:sz w:val="23"/>
        </w:rPr>
      </w:pPr>
      <w:r>
        <w:rPr>
          <w:rFonts w:eastAsia="Times New Roman"/>
          <w:color w:val="000000"/>
          <w:sz w:val="23"/>
        </w:rPr>
        <w:t>2</w:t>
      </w:r>
    </w:p>
    <w:p w14:paraId="4E2EE501" w14:textId="77777777" w:rsidR="009B75A5" w:rsidRDefault="009B75A5">
      <w:pPr>
        <w:sectPr w:rsidR="009B75A5">
          <w:type w:val="continuous"/>
          <w:pgSz w:w="12240" w:h="15840"/>
          <w:pgMar w:top="1440" w:right="2152" w:bottom="1024" w:left="2148" w:header="720" w:footer="720" w:gutter="0"/>
          <w:cols w:space="720"/>
        </w:sectPr>
      </w:pPr>
    </w:p>
    <w:p w14:paraId="4E2EE502" w14:textId="77777777" w:rsidR="009B75A5" w:rsidRDefault="001B0408">
      <w:pPr>
        <w:numPr>
          <w:ilvl w:val="0"/>
          <w:numId w:val="2"/>
        </w:numPr>
        <w:tabs>
          <w:tab w:val="clear" w:pos="288"/>
          <w:tab w:val="left" w:pos="360"/>
        </w:tabs>
        <w:spacing w:before="26" w:line="272" w:lineRule="exact"/>
        <w:ind w:left="72"/>
        <w:jc w:val="both"/>
        <w:textAlignment w:val="baseline"/>
        <w:rPr>
          <w:rFonts w:ascii="Arial" w:eastAsia="Arial" w:hAnsi="Arial"/>
          <w:i/>
          <w:color w:val="000000"/>
          <w:spacing w:val="1"/>
          <w:sz w:val="24"/>
        </w:rPr>
      </w:pPr>
      <w:r>
        <w:rPr>
          <w:rFonts w:ascii="Arial" w:eastAsia="Arial" w:hAnsi="Arial"/>
          <w:i/>
          <w:color w:val="000000"/>
          <w:spacing w:val="1"/>
          <w:sz w:val="24"/>
        </w:rPr>
        <w:lastRenderedPageBreak/>
        <w:t xml:space="preserve">People v </w:t>
      </w:r>
      <w:proofErr w:type="spellStart"/>
      <w:r>
        <w:rPr>
          <w:rFonts w:ascii="Arial" w:eastAsia="Arial" w:hAnsi="Arial"/>
          <w:i/>
          <w:color w:val="000000"/>
          <w:spacing w:val="1"/>
          <w:sz w:val="24"/>
        </w:rPr>
        <w:t>Paylor</w:t>
      </w:r>
      <w:proofErr w:type="spellEnd"/>
      <w:r>
        <w:rPr>
          <w:rFonts w:ascii="Arial" w:eastAsia="Arial" w:hAnsi="Arial"/>
          <w:color w:val="000000"/>
          <w:spacing w:val="1"/>
          <w:sz w:val="24"/>
        </w:rPr>
        <w:t>, 70 N.Y.2d 146 (1987)</w:t>
      </w:r>
    </w:p>
    <w:p w14:paraId="4E2EE503" w14:textId="77777777" w:rsidR="009B75A5" w:rsidRDefault="001B0408">
      <w:pPr>
        <w:numPr>
          <w:ilvl w:val="0"/>
          <w:numId w:val="2"/>
        </w:numPr>
        <w:tabs>
          <w:tab w:val="clear" w:pos="288"/>
          <w:tab w:val="left" w:pos="360"/>
        </w:tabs>
        <w:spacing w:before="241" w:line="277" w:lineRule="exact"/>
        <w:ind w:left="72"/>
        <w:jc w:val="both"/>
        <w:textAlignment w:val="baseline"/>
        <w:rPr>
          <w:rFonts w:ascii="Arial" w:eastAsia="Arial" w:hAnsi="Arial"/>
          <w:i/>
          <w:color w:val="000000"/>
          <w:spacing w:val="-4"/>
          <w:sz w:val="24"/>
        </w:rPr>
      </w:pPr>
      <w:r>
        <w:rPr>
          <w:rFonts w:ascii="Arial" w:eastAsia="Arial" w:hAnsi="Arial"/>
          <w:i/>
          <w:color w:val="000000"/>
          <w:spacing w:val="-4"/>
          <w:sz w:val="24"/>
        </w:rPr>
        <w:t>People v. Thomas</w:t>
      </w:r>
      <w:r>
        <w:rPr>
          <w:rFonts w:ascii="Arial" w:eastAsia="Arial" w:hAnsi="Arial"/>
          <w:color w:val="000000"/>
          <w:spacing w:val="-4"/>
          <w:sz w:val="24"/>
        </w:rPr>
        <w:t xml:space="preserve">, 262 A.D.2d 213 (1st Dept 1999) ("The court properly gave a missing witness charge concerning a material witness who was available and under defendant's control within the meaning of </w:t>
      </w:r>
      <w:r>
        <w:rPr>
          <w:rFonts w:ascii="Arial" w:eastAsia="Arial" w:hAnsi="Arial"/>
          <w:i/>
          <w:color w:val="000000"/>
          <w:spacing w:val="-4"/>
          <w:sz w:val="24"/>
        </w:rPr>
        <w:t xml:space="preserve">People v Gonzalez </w:t>
      </w:r>
      <w:r>
        <w:rPr>
          <w:rFonts w:ascii="Arial" w:eastAsia="Arial" w:hAnsi="Arial"/>
          <w:color w:val="000000"/>
          <w:spacing w:val="-4"/>
          <w:sz w:val="24"/>
        </w:rPr>
        <w:t>(68 N.Y.2d 424, 427-428). Contrary to defendant's argument, he did not establish the unavailability of the witness, whose current address was concededly known to defendant. Moreover, the court's fair and balanced instruction directed the jury not to draw an unfair inference against defendant unless it was satisfied as to control and availability.</w:t>
      </w:r>
      <w:proofErr w:type="gramStart"/>
      <w:r>
        <w:rPr>
          <w:rFonts w:ascii="Arial" w:eastAsia="Arial" w:hAnsi="Arial"/>
          <w:color w:val="000000"/>
          <w:spacing w:val="-4"/>
          <w:sz w:val="24"/>
        </w:rPr>
        <w:t>" )</w:t>
      </w:r>
      <w:proofErr w:type="gramEnd"/>
    </w:p>
    <w:p w14:paraId="4E2EE504" w14:textId="77777777" w:rsidR="009B75A5" w:rsidRDefault="001B0408">
      <w:pPr>
        <w:numPr>
          <w:ilvl w:val="0"/>
          <w:numId w:val="2"/>
        </w:numPr>
        <w:tabs>
          <w:tab w:val="clear" w:pos="288"/>
          <w:tab w:val="left" w:pos="360"/>
        </w:tabs>
        <w:spacing w:before="231" w:line="288" w:lineRule="exact"/>
        <w:ind w:left="72"/>
        <w:jc w:val="both"/>
        <w:textAlignment w:val="baseline"/>
        <w:rPr>
          <w:rFonts w:ascii="Arial" w:eastAsia="Arial" w:hAnsi="Arial"/>
          <w:i/>
          <w:color w:val="000000"/>
          <w:spacing w:val="-2"/>
          <w:sz w:val="24"/>
        </w:rPr>
      </w:pPr>
      <w:r>
        <w:rPr>
          <w:rFonts w:ascii="Arial" w:eastAsia="Arial" w:hAnsi="Arial"/>
          <w:i/>
          <w:color w:val="000000"/>
          <w:spacing w:val="-2"/>
          <w:sz w:val="24"/>
        </w:rPr>
        <w:t>People v. Gonzalez</w:t>
      </w:r>
      <w:r>
        <w:rPr>
          <w:rFonts w:ascii="Arial" w:eastAsia="Arial" w:hAnsi="Arial"/>
          <w:color w:val="000000"/>
          <w:spacing w:val="-2"/>
          <w:sz w:val="24"/>
        </w:rPr>
        <w:t xml:space="preserve">, 68 N.Y.2d 424, 427-430 (1986); </w:t>
      </w:r>
      <w:r>
        <w:rPr>
          <w:rFonts w:ascii="Arial" w:eastAsia="Arial" w:hAnsi="Arial"/>
          <w:i/>
          <w:color w:val="000000"/>
          <w:spacing w:val="-2"/>
          <w:sz w:val="24"/>
        </w:rPr>
        <w:t xml:space="preserve">People v. </w:t>
      </w:r>
      <w:proofErr w:type="spellStart"/>
      <w:r>
        <w:rPr>
          <w:rFonts w:ascii="Arial" w:eastAsia="Arial" w:hAnsi="Arial"/>
          <w:i/>
          <w:color w:val="000000"/>
          <w:spacing w:val="-2"/>
          <w:sz w:val="24"/>
        </w:rPr>
        <w:t>Savinon</w:t>
      </w:r>
      <w:proofErr w:type="spellEnd"/>
      <w:r>
        <w:rPr>
          <w:rFonts w:ascii="Arial" w:eastAsia="Arial" w:hAnsi="Arial"/>
          <w:i/>
          <w:color w:val="000000"/>
          <w:spacing w:val="-2"/>
          <w:sz w:val="24"/>
        </w:rPr>
        <w:t xml:space="preserve">, </w:t>
      </w:r>
      <w:r>
        <w:rPr>
          <w:rFonts w:ascii="Arial" w:eastAsia="Arial" w:hAnsi="Arial"/>
          <w:color w:val="000000"/>
          <w:spacing w:val="-2"/>
          <w:sz w:val="24"/>
        </w:rPr>
        <w:t xml:space="preserve">100 N.Y.2d 192 (2003); </w:t>
      </w:r>
      <w:r>
        <w:rPr>
          <w:rFonts w:ascii="Arial" w:eastAsia="Arial" w:hAnsi="Arial"/>
          <w:i/>
          <w:color w:val="000000"/>
          <w:spacing w:val="-2"/>
          <w:sz w:val="24"/>
        </w:rPr>
        <w:t>People v. Keen</w:t>
      </w:r>
      <w:r>
        <w:rPr>
          <w:rFonts w:ascii="Arial" w:eastAsia="Arial" w:hAnsi="Arial"/>
          <w:color w:val="000000"/>
          <w:spacing w:val="-2"/>
          <w:sz w:val="24"/>
        </w:rPr>
        <w:t xml:space="preserve">, 94 N.Y.2d 533, 540 (2000); </w:t>
      </w:r>
      <w:r>
        <w:rPr>
          <w:rFonts w:ascii="Arial" w:eastAsia="Arial" w:hAnsi="Arial"/>
          <w:i/>
          <w:color w:val="000000"/>
          <w:spacing w:val="-2"/>
          <w:sz w:val="24"/>
        </w:rPr>
        <w:t>People v Kitching</w:t>
      </w:r>
      <w:r>
        <w:rPr>
          <w:rFonts w:ascii="Arial" w:eastAsia="Arial" w:hAnsi="Arial"/>
          <w:color w:val="000000"/>
          <w:spacing w:val="-2"/>
          <w:sz w:val="24"/>
        </w:rPr>
        <w:t>, 78 N.Y.2d 532, 537-538 (1991).</w:t>
      </w:r>
    </w:p>
    <w:p w14:paraId="4E2EE505" w14:textId="63DAC4CE" w:rsidR="009B75A5" w:rsidRPr="004B49CE" w:rsidRDefault="001B0408">
      <w:pPr>
        <w:numPr>
          <w:ilvl w:val="0"/>
          <w:numId w:val="2"/>
        </w:numPr>
        <w:tabs>
          <w:tab w:val="clear" w:pos="288"/>
          <w:tab w:val="left" w:pos="360"/>
        </w:tabs>
        <w:spacing w:before="242" w:line="276" w:lineRule="exact"/>
        <w:ind w:left="72"/>
        <w:jc w:val="both"/>
        <w:textAlignment w:val="baseline"/>
        <w:rPr>
          <w:rFonts w:ascii="Arial" w:eastAsia="Arial" w:hAnsi="Arial"/>
          <w:i/>
          <w:color w:val="000000"/>
          <w:sz w:val="24"/>
        </w:rPr>
      </w:pPr>
      <w:r>
        <w:rPr>
          <w:rFonts w:ascii="Arial" w:eastAsia="Arial" w:hAnsi="Arial"/>
          <w:i/>
          <w:color w:val="000000"/>
          <w:sz w:val="24"/>
        </w:rPr>
        <w:t>People v. Gonzale</w:t>
      </w:r>
      <w:r>
        <w:rPr>
          <w:rFonts w:ascii="Arial" w:eastAsia="Arial" w:hAnsi="Arial"/>
          <w:color w:val="000000"/>
          <w:sz w:val="24"/>
        </w:rPr>
        <w:t>z, 68 N.Y.2d at 429 (“A missing witness charge would be appropriate however, if it is demonstrated that the party had the physical ability to locate and produce the witness, and there was such a relationship, in legal status or on the facts, as to make it natural to expect the party to have called the witness to testify in his favor.”)</w:t>
      </w:r>
    </w:p>
    <w:p w14:paraId="4E2EE508" w14:textId="79DBC496" w:rsidR="009B75A5" w:rsidRPr="004B49CE" w:rsidRDefault="001B0408" w:rsidP="004B49CE">
      <w:pPr>
        <w:numPr>
          <w:ilvl w:val="0"/>
          <w:numId w:val="2"/>
        </w:numPr>
        <w:tabs>
          <w:tab w:val="clear" w:pos="288"/>
          <w:tab w:val="left" w:pos="360"/>
        </w:tabs>
        <w:spacing w:before="242" w:line="276" w:lineRule="exact"/>
        <w:ind w:left="72"/>
        <w:jc w:val="both"/>
        <w:textAlignment w:val="baseline"/>
        <w:rPr>
          <w:rFonts w:ascii="Arial" w:eastAsia="Arial" w:hAnsi="Arial"/>
          <w:i/>
          <w:color w:val="000000"/>
          <w:sz w:val="24"/>
        </w:rPr>
      </w:pPr>
      <w:r w:rsidRPr="004B49CE">
        <w:rPr>
          <w:rFonts w:ascii="Arial" w:eastAsia="Arial" w:hAnsi="Arial"/>
          <w:i/>
          <w:color w:val="000000"/>
          <w:spacing w:val="4"/>
          <w:sz w:val="24"/>
        </w:rPr>
        <w:t xml:space="preserve">See Crosby v. </w:t>
      </w:r>
      <w:proofErr w:type="spellStart"/>
      <w:r w:rsidRPr="004B49CE">
        <w:rPr>
          <w:rFonts w:ascii="Arial" w:eastAsia="Arial" w:hAnsi="Arial"/>
          <w:i/>
          <w:color w:val="000000"/>
          <w:spacing w:val="4"/>
          <w:sz w:val="24"/>
        </w:rPr>
        <w:t>Beaird</w:t>
      </w:r>
      <w:proofErr w:type="spellEnd"/>
      <w:r w:rsidRPr="004B49CE">
        <w:rPr>
          <w:rFonts w:ascii="Arial" w:eastAsia="Arial" w:hAnsi="Arial"/>
          <w:color w:val="000000"/>
          <w:spacing w:val="4"/>
          <w:sz w:val="24"/>
        </w:rPr>
        <w:t>, 93 A.D.2d 852 (2 Dept 1983) (When giving a</w:t>
      </w:r>
      <w:r w:rsidR="004B49CE">
        <w:rPr>
          <w:rFonts w:ascii="Arial" w:eastAsia="Arial" w:hAnsi="Arial"/>
          <w:i/>
          <w:color w:val="000000"/>
          <w:sz w:val="24"/>
        </w:rPr>
        <w:t xml:space="preserve"> </w:t>
      </w:r>
      <w:bookmarkStart w:id="0" w:name="_GoBack"/>
      <w:bookmarkEnd w:id="0"/>
      <w:r w:rsidRPr="004B49CE">
        <w:rPr>
          <w:rFonts w:ascii="Arial" w:eastAsia="Arial" w:hAnsi="Arial"/>
          <w:color w:val="000000"/>
          <w:sz w:val="24"/>
        </w:rPr>
        <w:t>missing witness charge, the trial court in a civil matter erred by failing to instruct “the jury to consider the infant’s age and the circumstances surrounding the accident in determining whether or not they deemed it appropriate in this case to invoke the permissible inferences authorized in such a charge”).</w:t>
      </w:r>
    </w:p>
    <w:p w14:paraId="4E2EE509" w14:textId="77777777" w:rsidR="009B75A5" w:rsidRDefault="001B0408">
      <w:pPr>
        <w:numPr>
          <w:ilvl w:val="0"/>
          <w:numId w:val="2"/>
        </w:numPr>
        <w:tabs>
          <w:tab w:val="clear" w:pos="288"/>
          <w:tab w:val="left" w:pos="360"/>
        </w:tabs>
        <w:spacing w:before="246" w:after="4815" w:line="272" w:lineRule="exact"/>
        <w:ind w:left="72"/>
        <w:textAlignment w:val="baseline"/>
        <w:rPr>
          <w:rFonts w:ascii="Arial" w:eastAsia="Arial" w:hAnsi="Arial"/>
          <w:i/>
          <w:color w:val="000000"/>
          <w:spacing w:val="1"/>
          <w:sz w:val="24"/>
        </w:rPr>
      </w:pPr>
      <w:r>
        <w:rPr>
          <w:rFonts w:ascii="Arial" w:eastAsia="Arial" w:hAnsi="Arial"/>
          <w:i/>
          <w:color w:val="000000"/>
          <w:spacing w:val="1"/>
          <w:sz w:val="24"/>
        </w:rPr>
        <w:t xml:space="preserve">People v </w:t>
      </w:r>
      <w:proofErr w:type="spellStart"/>
      <w:r>
        <w:rPr>
          <w:rFonts w:ascii="Arial" w:eastAsia="Arial" w:hAnsi="Arial"/>
          <w:i/>
          <w:color w:val="000000"/>
          <w:spacing w:val="1"/>
          <w:sz w:val="24"/>
        </w:rPr>
        <w:t>Paylor</w:t>
      </w:r>
      <w:proofErr w:type="spellEnd"/>
      <w:r>
        <w:rPr>
          <w:rFonts w:ascii="Arial" w:eastAsia="Arial" w:hAnsi="Arial"/>
          <w:color w:val="000000"/>
          <w:spacing w:val="1"/>
          <w:sz w:val="24"/>
        </w:rPr>
        <w:t>, 70 N.Y.2d 146 (1987).</w:t>
      </w:r>
    </w:p>
    <w:p w14:paraId="4E2EE50A" w14:textId="77777777" w:rsidR="009B75A5" w:rsidRDefault="009B75A5">
      <w:pPr>
        <w:spacing w:before="246" w:after="4815" w:line="272" w:lineRule="exact"/>
        <w:sectPr w:rsidR="009B75A5">
          <w:pgSz w:w="12240" w:h="15840"/>
          <w:pgMar w:top="1420" w:right="2140" w:bottom="1024" w:left="2145" w:header="720" w:footer="720" w:gutter="0"/>
          <w:cols w:space="720"/>
        </w:sectPr>
      </w:pPr>
    </w:p>
    <w:p w14:paraId="4E2EE50B" w14:textId="77777777" w:rsidR="009B75A5" w:rsidRDefault="001B0408">
      <w:pPr>
        <w:spacing w:line="265" w:lineRule="exact"/>
        <w:jc w:val="center"/>
        <w:textAlignment w:val="baseline"/>
        <w:rPr>
          <w:rFonts w:eastAsia="Times New Roman"/>
          <w:color w:val="000000"/>
          <w:sz w:val="23"/>
        </w:rPr>
      </w:pPr>
      <w:r>
        <w:rPr>
          <w:rFonts w:eastAsia="Times New Roman"/>
          <w:color w:val="000000"/>
          <w:sz w:val="23"/>
        </w:rPr>
        <w:t>3</w:t>
      </w:r>
    </w:p>
    <w:sectPr w:rsidR="009B75A5">
      <w:type w:val="continuous"/>
      <w:pgSz w:w="12240" w:h="15840"/>
      <w:pgMar w:top="1420" w:right="2155" w:bottom="1024" w:left="21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8579A9"/>
    <w:multiLevelType w:val="multilevel"/>
    <w:tmpl w:val="0FFA5DD0"/>
    <w:lvl w:ilvl="0">
      <w:start w:val="1"/>
      <w:numFmt w:val="decimal"/>
      <w:lvlText w:val="%1."/>
      <w:lvlJc w:val="left"/>
      <w:pPr>
        <w:tabs>
          <w:tab w:val="left" w:pos="288"/>
        </w:tabs>
      </w:pPr>
      <w:rPr>
        <w:rFonts w:ascii="Arial" w:eastAsia="Arial" w:hAnsi="Arial"/>
        <w:i/>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8103D04"/>
    <w:multiLevelType w:val="multilevel"/>
    <w:tmpl w:val="FFC4D02C"/>
    <w:lvl w:ilvl="0">
      <w:start w:val="1"/>
      <w:numFmt w:val="decimal"/>
      <w:lvlText w:val="%1."/>
      <w:lvlJc w:val="left"/>
      <w:pPr>
        <w:tabs>
          <w:tab w:val="left" w:pos="360"/>
        </w:tabs>
      </w:pPr>
      <w:rPr>
        <w:rFonts w:ascii="Arial" w:eastAsia="Arial" w:hAnsi="Arial"/>
        <w:strike w:val="0"/>
        <w:color w:val="000000"/>
        <w:spacing w:val="-2"/>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5A5"/>
    <w:rsid w:val="001B0408"/>
    <w:rsid w:val="004B49CE"/>
    <w:rsid w:val="009B7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E4EB"/>
  <w15:docId w15:val="{9C4EC3E1-168B-4815-AEF7-E9BF7D5E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535</Words>
  <Characters>3050</Characters>
  <Application>Microsoft Office Word</Application>
  <DocSecurity>4</DocSecurity>
  <Lines>25</Lines>
  <Paragraphs>7</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Donnino</dc:creator>
  <cp:lastModifiedBy>Hon. William Donnino</cp:lastModifiedBy>
  <cp:revision>2</cp:revision>
  <dcterms:created xsi:type="dcterms:W3CDTF">2018-02-16T15:23:00Z</dcterms:created>
  <dcterms:modified xsi:type="dcterms:W3CDTF">2018-02-16T15:23:00Z</dcterms:modified>
</cp:coreProperties>
</file>