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43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26"/>
          <w:vertAlign w:val="baseline"/>
          <w:lang w:val="en-US"/>
        </w:rPr>
        <w:t xml:space="preserve">Defendant Pro Se</w:t>
      </w:r>
      <w:r>
        <w:rPr>
          <w:rFonts w:ascii="Arial" w:hAnsi="Arial" w:eastAsia="Arial"/>
          <w:strike w:val="false"/>
          <w:color w:val="000000"/>
          <w:spacing w:val="2"/>
          <w:w w:val="100"/>
          <w:sz w:val="26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2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38" w:after="0" w:line="27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Under our law, every defendant has the right to have a lawyer represent him/her and to have the court appoint a lawyer if he/she cannot afford one. By the same token, every defendant</w:t>
      </w:r>
    </w:p>
    <w:p>
      <w:pPr>
        <w:pageBreakBefore w:val="false"/>
        <w:spacing w:before="0" w:after="0" w:line="23" w:lineRule="exact"/>
        <w:ind w:right="0" w:left="331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2</w:t>
      </w:r>
    </w:p>
    <w:p>
      <w:pPr>
        <w:pageBreakBefore w:val="false"/>
        <w:spacing w:before="137" w:after="0" w:line="326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6"/>
          <w:vertAlign w:val="baseline"/>
          <w:lang w:val="en-US"/>
        </w:rPr>
        <w:t xml:space="preserve">has the right to represent himself/herself if he/she so chooses.</w:t>
      </w:r>
      <w:r>
        <w:rPr>
          <w:rFonts w:ascii="Arial" w:hAnsi="Arial" w:eastAsia="Arial"/>
          <w:strike w:val="false"/>
          <w:color w:val="000000"/>
          <w:spacing w:val="6"/>
          <w:w w:val="100"/>
          <w:sz w:val="26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6"/>
          <w:w w:val="100"/>
          <w:sz w:val="16"/>
          <w:vertAlign w:val="baseline"/>
          <w:lang w:val="en-US"/>
        </w:rPr>
        <w:t xml:space="preserve"> </w:t>
      </w:r>
      <w:r>
        <w:rPr>
          <w:rFonts w:ascii="Arial" w:hAnsi="Arial" w:eastAsia="Arial"/>
          <w:strike w:val="false"/>
          <w:color w:val="000000"/>
          <w:spacing w:val="6"/>
          <w:w w:val="100"/>
          <w:sz w:val="26"/>
          <w:vertAlign w:val="baseline"/>
          <w:lang w:val="en-US"/>
        </w:rPr>
        <w:t xml:space="preserve">The defendant here has chosen to exercise that right. You are not to draw any inference unfavorable to the defendant from the exercise of his/her right to represent himself/herself.</w:t>
      </w:r>
      <w:r>
        <w:rPr>
          <w:rFonts w:ascii="Arial" w:hAnsi="Arial" w:eastAsia="Arial"/>
          <w:strike w:val="false"/>
          <w:color w:val="000000"/>
          <w:spacing w:val="6"/>
          <w:w w:val="100"/>
          <w:sz w:val="26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6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30" w:after="0" w:line="32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6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strike w:val="false"/>
          <w:color w:val="000000"/>
          <w:spacing w:val="4"/>
          <w:w w:val="100"/>
          <w:sz w:val="26"/>
          <w:vertAlign w:val="baseline"/>
          <w:lang w:val="en-US"/>
        </w:rPr>
        <w:t xml:space="preserve">If appropriate, add</w:t>
      </w:r>
      <w:r>
        <w:rPr>
          <w:rFonts w:ascii="Arial" w:hAnsi="Arial" w:eastAsia="Arial"/>
          <w:strike w:val="false"/>
          <w:color w:val="000000"/>
          <w:spacing w:val="4"/>
          <w:w w:val="100"/>
          <w:sz w:val="26"/>
          <w:vertAlign w:val="baseline"/>
          <w:lang w:val="en-US"/>
        </w:rPr>
        <w:t xml:space="preserve">:</w:t>
      </w:r>
    </w:p>
    <w:p>
      <w:pPr>
        <w:pageBreakBefore w:val="false"/>
        <w:spacing w:before="32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, a lawyer, will be seated at the counsel table with the defendant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will be seated in the courtroom] and will be available at all times to advise the defendant if the defendant wishes to consult him/her.]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</w:tabs>
        <w:spacing w:before="1662" w:after="0" w:line="277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8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8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8"/>
          <w:w w:val="100"/>
          <w:sz w:val="24"/>
          <w:vertAlign w:val="baseline"/>
          <w:lang w:val="en-US"/>
        </w:rPr>
        <w:t xml:space="preserve">CPL § 180.10(5)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</w:tabs>
        <w:spacing w:before="270" w:after="0" w:line="277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8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8"/>
          <w:w w:val="100"/>
          <w:sz w:val="24"/>
          <w:vertAlign w:val="baseline"/>
          <w:lang w:val="en-US"/>
        </w:rPr>
        <w:t xml:space="preserve">See Gideon v. Wainwright, </w:t>
      </w:r>
      <w:r>
        <w:rPr>
          <w:rFonts w:ascii="Arial" w:hAnsi="Arial" w:eastAsia="Arial"/>
          <w:strike w:val="false"/>
          <w:color w:val="000000"/>
          <w:spacing w:val="8"/>
          <w:w w:val="100"/>
          <w:sz w:val="24"/>
          <w:vertAlign w:val="baseline"/>
          <w:lang w:val="en-US"/>
        </w:rPr>
        <w:t xml:space="preserve">372 U.S. 335 (1963)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</w:tabs>
        <w:spacing w:before="239" w:after="0" w:line="308" w:lineRule="exact"/>
        <w:ind w:right="0" w:left="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Faretta v California,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422 U.S. 806 (1975);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People v. McIntyre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36 N.Y.2d 10 (1974).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</w:tabs>
        <w:spacing w:before="0" w:after="0" w:line="203" w:lineRule="exact"/>
        <w:ind w:right="0" w:left="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1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10"/>
          <w:w w:val="100"/>
          <w:sz w:val="24"/>
          <w:vertAlign w:val="baseline"/>
          <w:lang w:val="en-US"/>
        </w:rPr>
        <w:t xml:space="preserve">See People v. Pitman</w:t>
      </w:r>
      <w:r>
        <w:rPr>
          <w:rFonts w:ascii="Arial" w:hAnsi="Arial" w:eastAsia="Arial"/>
          <w:strike w:val="false"/>
          <w:color w:val="000000"/>
          <w:spacing w:val="10"/>
          <w:w w:val="100"/>
          <w:sz w:val="24"/>
          <w:vertAlign w:val="baseline"/>
          <w:lang w:val="en-US"/>
        </w:rPr>
        <w:t xml:space="preserve">, 25 A.D.2d 637 (1 Dept. 1966).</w:t>
      </w:r>
    </w:p>
    <w:p>
      <w:pPr>
        <w:pageBreakBefore w:val="false"/>
        <w:spacing w:before="253" w:after="0" w:line="86" w:lineRule="exact"/>
        <w:ind w:right="0" w:left="482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4"/>
          <w:vertAlign w:val="baseline"/>
          <w:lang w:val="en-US"/>
        </w:rPr>
        <w:t xml:space="preserve">st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</w:tabs>
        <w:spacing w:before="270" w:after="0" w:line="277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8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8"/>
          <w:w w:val="100"/>
          <w:sz w:val="24"/>
          <w:vertAlign w:val="baseline"/>
          <w:lang w:val="en-US"/>
        </w:rPr>
        <w:t xml:space="preserve">See People v. Mirenda</w:t>
      </w:r>
      <w:r>
        <w:rPr>
          <w:rFonts w:ascii="Arial" w:hAnsi="Arial" w:eastAsia="Arial"/>
          <w:strike w:val="false"/>
          <w:color w:val="000000"/>
          <w:spacing w:val="8"/>
          <w:w w:val="100"/>
          <w:sz w:val="24"/>
          <w:vertAlign w:val="baseline"/>
          <w:lang w:val="en-US"/>
        </w:rPr>
        <w:t xml:space="preserve">, 57 N.Y.2d 261 (1982).</w:t>
      </w:r>
    </w:p>
    <w:sectPr>
      <w:type w:val="nextPage"/>
      <w:pgSz w:w="12240" w:h="15840" w:orient="portrait"/>
      <w:pgMar w:bottom="4284" w:top="1420" w:right="21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288"/>
        </w:tabs>
      </w:pPr>
      <w:rPr>
        <w:rFonts w:ascii="Arial" w:hAnsi="Arial" w:eastAsia="Arial"/>
        <w:i w:val="true"/>
        <w:strike w:val="false"/>
        <w:color w:val="000000"/>
        <w:spacing w:val="8"/>
        <w:w w:val="100"/>
        <w:sz w:val="24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