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2CD59" w14:textId="48757D38" w:rsidR="00BC67DB" w:rsidRPr="004C0359" w:rsidRDefault="004C0359">
      <w:pPr>
        <w:spacing w:after="284" w:line="315" w:lineRule="exact"/>
        <w:jc w:val="center"/>
        <w:textAlignment w:val="baseline"/>
        <w:rPr>
          <w:rFonts w:ascii="Arial" w:eastAsia="Arial" w:hAnsi="Arial"/>
          <w:b/>
          <w:color w:val="000000"/>
          <w:spacing w:val="5"/>
          <w:sz w:val="27"/>
        </w:rPr>
      </w:pPr>
      <w:r w:rsidRPr="004C0359">
        <w:rPr>
          <w:rFonts w:ascii="Arial" w:eastAsia="Arial" w:hAnsi="Arial"/>
          <w:b/>
          <w:color w:val="000000"/>
          <w:spacing w:val="5"/>
          <w:sz w:val="27"/>
        </w:rPr>
        <w:t>PROMPT OUTCRY</w:t>
      </w:r>
      <w:r w:rsidR="00A42F15">
        <w:rPr>
          <w:rStyle w:val="EndnoteReference"/>
          <w:rFonts w:ascii="Arial" w:eastAsia="Arial" w:hAnsi="Arial"/>
          <w:b/>
          <w:color w:val="000000"/>
          <w:spacing w:val="5"/>
          <w:sz w:val="27"/>
        </w:rPr>
        <w:endnoteReference w:id="1"/>
      </w:r>
    </w:p>
    <w:p w14:paraId="7072CD5A" w14:textId="738723BE" w:rsidR="00BC67DB" w:rsidRDefault="00B40BA3">
      <w:pPr>
        <w:spacing w:before="362" w:line="323" w:lineRule="exact"/>
        <w:ind w:left="720" w:right="720"/>
        <w:jc w:val="both"/>
        <w:textAlignment w:val="baseline"/>
        <w:rPr>
          <w:rFonts w:ascii="Arial" w:eastAsia="Arial" w:hAnsi="Arial"/>
          <w:i/>
          <w:color w:val="000000"/>
          <w:sz w:val="28"/>
        </w:rPr>
      </w:pPr>
      <w:r w:rsidRPr="00231A5E">
        <w:rPr>
          <w:i/>
          <w:noProof/>
        </w:rPr>
        <mc:AlternateContent>
          <mc:Choice Requires="wps">
            <w:drawing>
              <wp:anchor distT="0" distB="0" distL="114300" distR="114300" simplePos="0" relativeHeight="251657728" behindDoc="0" locked="0" layoutInCell="1" allowOverlap="1" wp14:anchorId="7072CD6B" wp14:editId="3C538D8E">
                <wp:simplePos x="0" y="0"/>
                <wp:positionH relativeFrom="page">
                  <wp:posOffset>3340735</wp:posOffset>
                </wp:positionH>
                <wp:positionV relativeFrom="page">
                  <wp:posOffset>1090930</wp:posOffset>
                </wp:positionV>
                <wp:extent cx="109156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18145"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3.05pt,85.9pt" to="349pt,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" strokeweight="1.2pt">
                <w10:wrap anchorx="page" anchory="page"/>
              </v:line>
            </w:pict>
          </mc:Fallback>
        </mc:AlternateContent>
      </w:r>
      <w:r w:rsidR="00412D74" w:rsidRPr="00231A5E">
        <w:rPr>
          <w:rFonts w:ascii="Arial" w:eastAsia="Arial" w:hAnsi="Arial"/>
          <w:i/>
          <w:sz w:val="28"/>
        </w:rPr>
        <w:t>When relevant</w:t>
      </w:r>
      <w:r w:rsidR="00412D74">
        <w:rPr>
          <w:rFonts w:ascii="Arial" w:eastAsia="Arial" w:hAnsi="Arial"/>
          <w:i/>
          <w:color w:val="000000"/>
          <w:sz w:val="28"/>
        </w:rPr>
        <w:t>, t</w:t>
      </w:r>
      <w:r w:rsidR="004C0359">
        <w:rPr>
          <w:rFonts w:ascii="Arial" w:eastAsia="Arial" w:hAnsi="Arial"/>
          <w:i/>
          <w:color w:val="000000"/>
          <w:sz w:val="28"/>
        </w:rPr>
        <w:t>he following charge should be included among the factors to consider on the credibility of a witness's testimony</w:t>
      </w:r>
      <w:r w:rsidR="004C0359">
        <w:rPr>
          <w:rFonts w:ascii="Arial" w:eastAsia="Arial" w:hAnsi="Arial"/>
          <w:color w:val="000000"/>
          <w:sz w:val="28"/>
        </w:rPr>
        <w:t>:</w:t>
      </w:r>
    </w:p>
    <w:p w14:paraId="7072CD5B" w14:textId="1C03C471" w:rsidR="00BC67DB" w:rsidRDefault="004C0359">
      <w:pPr>
        <w:spacing w:before="323" w:line="322" w:lineRule="exact"/>
        <w:ind w:firstLine="720"/>
        <w:jc w:val="both"/>
        <w:textAlignment w:val="baseline"/>
        <w:rPr>
          <w:rFonts w:ascii="Arial" w:eastAsia="Arial" w:hAnsi="Arial"/>
          <w:color w:val="000000"/>
          <w:sz w:val="28"/>
        </w:rPr>
      </w:pPr>
      <w:r>
        <w:rPr>
          <w:rFonts w:ascii="Arial" w:eastAsia="Arial" w:hAnsi="Arial"/>
          <w:color w:val="000000"/>
          <w:sz w:val="28"/>
        </w:rPr>
        <w:t xml:space="preserve">You may consider whether </w:t>
      </w:r>
      <w:r>
        <w:rPr>
          <w:rFonts w:ascii="Arial" w:eastAsia="Arial" w:hAnsi="Arial"/>
          <w:i/>
          <w:color w:val="000000"/>
          <w:sz w:val="28"/>
          <w:u w:val="single"/>
        </w:rPr>
        <w:t xml:space="preserve">(specify name of </w:t>
      </w:r>
      <w:r w:rsidR="00237D35">
        <w:rPr>
          <w:rFonts w:ascii="Arial" w:eastAsia="Arial" w:hAnsi="Arial"/>
          <w:i/>
          <w:color w:val="000000"/>
          <w:sz w:val="28"/>
          <w:u w:val="single"/>
        </w:rPr>
        <w:t xml:space="preserve">complainant) </w:t>
      </w:r>
      <w:r w:rsidR="00237D35" w:rsidRPr="0031320D">
        <w:rPr>
          <w:rFonts w:ascii="Arial" w:eastAsia="Arial" w:hAnsi="Arial"/>
          <w:iCs/>
          <w:color w:val="000000"/>
          <w:sz w:val="28"/>
        </w:rPr>
        <w:t>complained</w:t>
      </w:r>
      <w:r>
        <w:rPr>
          <w:rFonts w:ascii="Arial" w:eastAsia="Arial" w:hAnsi="Arial"/>
          <w:color w:val="000000"/>
          <w:sz w:val="28"/>
        </w:rPr>
        <w:t xml:space="preserve"> of the crime </w:t>
      </w:r>
      <w:bookmarkStart w:id="0" w:name="_Hlk48224540"/>
      <w:r w:rsidRPr="002467C1">
        <w:rPr>
          <w:rFonts w:ascii="Arial" w:eastAsia="Arial" w:hAnsi="Arial"/>
          <w:color w:val="000000"/>
          <w:sz w:val="28"/>
        </w:rPr>
        <w:t>promptly or within a reasonable period of time</w:t>
      </w:r>
      <w:r>
        <w:rPr>
          <w:rFonts w:ascii="Arial" w:eastAsia="Arial" w:hAnsi="Arial"/>
          <w:color w:val="000000"/>
          <w:sz w:val="28"/>
        </w:rPr>
        <w:t xml:space="preserve"> after its alleged commission</w:t>
      </w:r>
      <w:bookmarkEnd w:id="0"/>
      <w:r>
        <w:rPr>
          <w:rFonts w:ascii="Arial" w:eastAsia="Arial" w:hAnsi="Arial"/>
          <w:color w:val="000000"/>
          <w:sz w:val="28"/>
        </w:rPr>
        <w:t>.</w:t>
      </w:r>
      <w:r w:rsidR="00174266">
        <w:rPr>
          <w:rStyle w:val="EndnoteReference"/>
          <w:rFonts w:ascii="Arial" w:eastAsia="Arial" w:hAnsi="Arial"/>
          <w:color w:val="000000"/>
          <w:sz w:val="28"/>
        </w:rPr>
        <w:endnoteReference w:id="2"/>
      </w:r>
    </w:p>
    <w:p w14:paraId="7072CD5C" w14:textId="1865CFB2" w:rsidR="00BC67DB" w:rsidRDefault="004C0359">
      <w:pPr>
        <w:spacing w:before="333" w:line="321" w:lineRule="exact"/>
        <w:ind w:firstLine="720"/>
        <w:jc w:val="both"/>
        <w:textAlignment w:val="baseline"/>
        <w:rPr>
          <w:rFonts w:ascii="Arial" w:eastAsia="Arial" w:hAnsi="Arial"/>
          <w:color w:val="000000"/>
          <w:sz w:val="28"/>
        </w:rPr>
      </w:pPr>
      <w:r>
        <w:rPr>
          <w:rFonts w:ascii="Arial" w:eastAsia="Arial" w:hAnsi="Arial"/>
          <w:color w:val="000000"/>
          <w:sz w:val="28"/>
        </w:rPr>
        <w:t xml:space="preserve">If you find that the complaint was made </w:t>
      </w:r>
      <w:r w:rsidRPr="002467C1">
        <w:rPr>
          <w:rFonts w:ascii="Arial" w:eastAsia="Arial" w:hAnsi="Arial"/>
          <w:color w:val="000000"/>
          <w:sz w:val="28"/>
        </w:rPr>
        <w:t>promptly or within a reasonable time,</w:t>
      </w:r>
      <w:r>
        <w:rPr>
          <w:rFonts w:ascii="Arial" w:eastAsia="Arial" w:hAnsi="Arial"/>
          <w:color w:val="000000"/>
          <w:sz w:val="28"/>
        </w:rPr>
        <w:t xml:space="preserve"> you may consider whether and to what extent, if any, that fact tends to support the believability of the witness's testimony.</w:t>
      </w:r>
      <w:r w:rsidR="004247AF">
        <w:rPr>
          <w:rStyle w:val="EndnoteReference"/>
          <w:rFonts w:ascii="Arial" w:eastAsia="Arial" w:hAnsi="Arial"/>
          <w:color w:val="000000"/>
          <w:sz w:val="28"/>
        </w:rPr>
        <w:endnoteReference w:id="3"/>
      </w:r>
    </w:p>
    <w:p w14:paraId="7072CD5D" w14:textId="0032F21C" w:rsidR="00BC67DB" w:rsidRDefault="004C0359">
      <w:pPr>
        <w:spacing w:before="330" w:line="323" w:lineRule="exact"/>
        <w:ind w:firstLine="720"/>
        <w:jc w:val="both"/>
        <w:textAlignment w:val="baseline"/>
        <w:rPr>
          <w:rFonts w:ascii="Arial" w:eastAsia="Arial" w:hAnsi="Arial"/>
          <w:color w:val="000000"/>
          <w:spacing w:val="-1"/>
          <w:sz w:val="28"/>
        </w:rPr>
      </w:pPr>
      <w:r>
        <w:rPr>
          <w:rFonts w:ascii="Arial" w:eastAsia="Arial" w:hAnsi="Arial"/>
          <w:color w:val="000000"/>
          <w:spacing w:val="-1"/>
          <w:sz w:val="28"/>
        </w:rPr>
        <w:t>If you find that the complaint was unreasonably delayed, you may consider whether and to what extent, if any, that fact tends not to support the believability of the witness's testimony.</w:t>
      </w:r>
      <w:r w:rsidR="004247AF">
        <w:rPr>
          <w:rStyle w:val="EndnoteReference"/>
          <w:rFonts w:ascii="Arial" w:eastAsia="Arial" w:hAnsi="Arial"/>
          <w:color w:val="000000"/>
          <w:spacing w:val="-1"/>
          <w:sz w:val="28"/>
        </w:rPr>
        <w:endnoteReference w:id="4"/>
      </w:r>
    </w:p>
    <w:p w14:paraId="7072CD5E" w14:textId="77777777" w:rsidR="00BC67DB" w:rsidRDefault="004C0359" w:rsidP="00C13E0E">
      <w:pPr>
        <w:spacing w:before="329" w:line="323" w:lineRule="exact"/>
        <w:ind w:left="720"/>
        <w:jc w:val="both"/>
        <w:textAlignment w:val="baseline"/>
        <w:rPr>
          <w:rFonts w:ascii="Arial" w:eastAsia="Arial" w:hAnsi="Arial"/>
          <w:i/>
          <w:color w:val="000000"/>
          <w:sz w:val="28"/>
        </w:rPr>
      </w:pPr>
      <w:r>
        <w:rPr>
          <w:rFonts w:ascii="Arial" w:eastAsia="Arial" w:hAnsi="Arial"/>
          <w:i/>
          <w:color w:val="000000"/>
          <w:sz w:val="28"/>
        </w:rPr>
        <w:t>[Add the following if there is a factual issue on the promptness of the complaint:</w:t>
      </w:r>
    </w:p>
    <w:p w14:paraId="7072CD5F" w14:textId="77777777" w:rsidR="00BC67DB" w:rsidRDefault="004C0359" w:rsidP="00C13E0E">
      <w:pPr>
        <w:spacing w:before="315" w:line="326" w:lineRule="exact"/>
        <w:ind w:left="720" w:firstLine="720"/>
        <w:jc w:val="both"/>
        <w:textAlignment w:val="baseline"/>
        <w:rPr>
          <w:rFonts w:ascii="Arial" w:eastAsia="Arial" w:hAnsi="Arial"/>
          <w:color w:val="000000"/>
          <w:spacing w:val="-6"/>
          <w:sz w:val="28"/>
        </w:rPr>
      </w:pPr>
      <w:r>
        <w:rPr>
          <w:rFonts w:ascii="Arial" w:eastAsia="Arial" w:hAnsi="Arial"/>
          <w:color w:val="000000"/>
          <w:spacing w:val="-6"/>
          <w:sz w:val="28"/>
        </w:rPr>
        <w:t>In determining whether a complaint was made within a reasonable period of time, you may consider such circumstances as:</w:t>
      </w:r>
    </w:p>
    <w:p w14:paraId="7072CD60" w14:textId="77777777" w:rsidR="00BC67DB" w:rsidRDefault="004C0359">
      <w:pPr>
        <w:spacing w:before="317" w:line="326" w:lineRule="exact"/>
        <w:ind w:left="1440"/>
        <w:jc w:val="both"/>
        <w:textAlignment w:val="baseline"/>
        <w:rPr>
          <w:rFonts w:ascii="Arial" w:eastAsia="Arial" w:hAnsi="Arial"/>
          <w:color w:val="000000"/>
          <w:sz w:val="28"/>
        </w:rPr>
      </w:pPr>
      <w:r>
        <w:rPr>
          <w:rFonts w:ascii="Arial" w:eastAsia="Arial" w:hAnsi="Arial"/>
          <w:color w:val="000000"/>
          <w:sz w:val="28"/>
        </w:rPr>
        <w:t>the complainant's age, past experiences, and mental state;</w:t>
      </w:r>
    </w:p>
    <w:p w14:paraId="7072CD61" w14:textId="77777777" w:rsidR="00BC67DB" w:rsidRDefault="004C0359">
      <w:pPr>
        <w:spacing w:before="321" w:line="327" w:lineRule="exact"/>
        <w:ind w:left="1440"/>
        <w:jc w:val="both"/>
        <w:textAlignment w:val="baseline"/>
        <w:rPr>
          <w:rFonts w:ascii="Arial" w:eastAsia="Arial" w:hAnsi="Arial"/>
          <w:color w:val="000000"/>
          <w:sz w:val="28"/>
        </w:rPr>
      </w:pPr>
      <w:r>
        <w:rPr>
          <w:rFonts w:ascii="Arial" w:eastAsia="Arial" w:hAnsi="Arial"/>
          <w:color w:val="000000"/>
          <w:sz w:val="28"/>
        </w:rPr>
        <w:t>whether or not the complainant feared for his/her own safety or the safety of others;</w:t>
      </w:r>
    </w:p>
    <w:p w14:paraId="7072CD62" w14:textId="77777777" w:rsidR="00BC67DB" w:rsidRDefault="004C0359">
      <w:pPr>
        <w:spacing w:before="327" w:line="321" w:lineRule="exact"/>
        <w:ind w:left="1440"/>
        <w:jc w:val="both"/>
        <w:textAlignment w:val="baseline"/>
        <w:rPr>
          <w:rFonts w:ascii="Arial" w:eastAsia="Arial" w:hAnsi="Arial"/>
          <w:color w:val="000000"/>
          <w:sz w:val="28"/>
        </w:rPr>
      </w:pPr>
      <w:r>
        <w:rPr>
          <w:rFonts w:ascii="Arial" w:eastAsia="Arial" w:hAnsi="Arial"/>
          <w:color w:val="000000"/>
          <w:sz w:val="28"/>
        </w:rPr>
        <w:t>whether or not the complainant had an opportunity to make a complaint; and</w:t>
      </w:r>
    </w:p>
    <w:p w14:paraId="7072CD63" w14:textId="6E045FA2" w:rsidR="00BC67DB" w:rsidRDefault="004C0359">
      <w:pPr>
        <w:spacing w:before="324" w:line="324" w:lineRule="exact"/>
        <w:ind w:left="1440"/>
        <w:jc w:val="both"/>
        <w:textAlignment w:val="baseline"/>
        <w:rPr>
          <w:rFonts w:ascii="Arial" w:eastAsia="Arial" w:hAnsi="Arial"/>
          <w:color w:val="000000"/>
          <w:spacing w:val="-1"/>
          <w:sz w:val="28"/>
        </w:rPr>
      </w:pPr>
      <w:r>
        <w:rPr>
          <w:rFonts w:ascii="Arial" w:eastAsia="Arial" w:hAnsi="Arial"/>
          <w:color w:val="000000"/>
          <w:spacing w:val="-1"/>
          <w:sz w:val="28"/>
        </w:rPr>
        <w:t>any other circumstance that operated to prevent or delay disclosure within a reasonable period of time.</w:t>
      </w:r>
      <w:r w:rsidR="009C5BB7">
        <w:rPr>
          <w:rStyle w:val="EndnoteReference"/>
          <w:rFonts w:ascii="Arial" w:eastAsia="Arial" w:hAnsi="Arial"/>
          <w:color w:val="000000"/>
          <w:spacing w:val="-1"/>
          <w:sz w:val="28"/>
        </w:rPr>
        <w:endnoteReference w:id="5"/>
      </w:r>
      <w:r>
        <w:rPr>
          <w:rFonts w:ascii="Arial" w:eastAsia="Arial" w:hAnsi="Arial"/>
          <w:color w:val="000000"/>
          <w:spacing w:val="-1"/>
          <w:sz w:val="28"/>
        </w:rPr>
        <w:t>]</w:t>
      </w:r>
    </w:p>
    <w:p w14:paraId="7072CD64" w14:textId="77777777" w:rsidR="00BC67DB" w:rsidRDefault="00BC67DB">
      <w:pPr>
        <w:sectPr w:rsidR="00BC67DB">
          <w:endnotePr>
            <w:numFmt w:val="decimal"/>
          </w:endnotePr>
          <w:pgSz w:w="12240" w:h="15840"/>
          <w:pgMar w:top="1100" w:right="2120" w:bottom="2004" w:left="2160" w:header="720" w:footer="720" w:gutter="0"/>
          <w:cols w:space="720"/>
        </w:sectPr>
      </w:pPr>
    </w:p>
    <w:p w14:paraId="7072CD6A" w14:textId="06B41FEF" w:rsidR="00BC67DB" w:rsidRDefault="00BC67DB">
      <w:pPr>
        <w:spacing w:line="218" w:lineRule="exact"/>
        <w:jc w:val="center"/>
        <w:textAlignment w:val="baseline"/>
        <w:rPr>
          <w:rFonts w:ascii="Arial" w:eastAsia="Arial" w:hAnsi="Arial"/>
          <w:color w:val="000000"/>
          <w:sz w:val="19"/>
        </w:rPr>
      </w:pPr>
    </w:p>
    <w:sectPr w:rsidR="00BC67DB">
      <w:type w:val="continuous"/>
      <w:pgSz w:w="12240" w:h="15840"/>
      <w:pgMar w:top="1080" w:right="2142" w:bottom="1024" w:left="21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47725" w14:textId="77777777" w:rsidR="00D2344F" w:rsidRDefault="00D2344F" w:rsidP="00A42F15">
      <w:r>
        <w:separator/>
      </w:r>
    </w:p>
  </w:endnote>
  <w:endnote w:type="continuationSeparator" w:id="0">
    <w:p w14:paraId="0FFCCC80" w14:textId="77777777" w:rsidR="00D2344F" w:rsidRDefault="00D2344F" w:rsidP="00A42F15">
      <w:r>
        <w:continuationSeparator/>
      </w:r>
    </w:p>
  </w:endnote>
  <w:endnote w:id="1">
    <w:p w14:paraId="1402ECA5" w14:textId="0D454F56" w:rsidR="00034C9B" w:rsidRPr="000D670F" w:rsidRDefault="00A42F15" w:rsidP="00A27855">
      <w:pPr>
        <w:shd w:val="clear" w:color="auto" w:fill="FFFFFF"/>
        <w:spacing w:after="240"/>
        <w:jc w:val="both"/>
        <w:rPr>
          <w:rFonts w:ascii="Arial" w:eastAsia="Times New Roman" w:hAnsi="Arial" w:cs="Arial"/>
          <w:color w:val="000000"/>
          <w:sz w:val="24"/>
          <w:szCs w:val="24"/>
        </w:rPr>
      </w:pPr>
      <w:r w:rsidRPr="002E08D6">
        <w:rPr>
          <w:rStyle w:val="EndnoteReference"/>
          <w:rFonts w:ascii="Arial" w:hAnsi="Arial" w:cs="Arial"/>
        </w:rPr>
        <w:endnoteRef/>
      </w:r>
      <w:r w:rsidRPr="002E08D6">
        <w:rPr>
          <w:rFonts w:ascii="Arial" w:hAnsi="Arial" w:cs="Arial"/>
        </w:rPr>
        <w:t xml:space="preserve"> </w:t>
      </w:r>
      <w:r w:rsidR="00F947AC" w:rsidRPr="000D670F">
        <w:rPr>
          <w:rFonts w:ascii="Arial" w:hAnsi="Arial" w:cs="Arial"/>
          <w:sz w:val="24"/>
          <w:szCs w:val="24"/>
        </w:rPr>
        <w:t xml:space="preserve">The Appellate Division has </w:t>
      </w:r>
      <w:r w:rsidR="00ED31DC" w:rsidRPr="000D670F">
        <w:rPr>
          <w:rFonts w:ascii="Arial" w:hAnsi="Arial" w:cs="Arial"/>
          <w:sz w:val="24"/>
          <w:szCs w:val="24"/>
        </w:rPr>
        <w:t xml:space="preserve">cited </w:t>
      </w:r>
      <w:r w:rsidR="003E7435" w:rsidRPr="000D670F">
        <w:rPr>
          <w:rFonts w:ascii="Arial" w:hAnsi="Arial" w:cs="Arial"/>
          <w:sz w:val="24"/>
          <w:szCs w:val="24"/>
        </w:rPr>
        <w:t>with approval th</w:t>
      </w:r>
      <w:r w:rsidR="00276011" w:rsidRPr="000D670F">
        <w:rPr>
          <w:rFonts w:ascii="Arial" w:hAnsi="Arial" w:cs="Arial"/>
          <w:sz w:val="24"/>
          <w:szCs w:val="24"/>
        </w:rPr>
        <w:t>is</w:t>
      </w:r>
      <w:r w:rsidR="00246E9E" w:rsidRPr="000D670F">
        <w:rPr>
          <w:rFonts w:ascii="Arial" w:hAnsi="Arial" w:cs="Arial"/>
          <w:sz w:val="24"/>
          <w:szCs w:val="24"/>
        </w:rPr>
        <w:t xml:space="preserve"> CJI</w:t>
      </w:r>
      <w:r w:rsidR="003E7435" w:rsidRPr="000D670F">
        <w:rPr>
          <w:rFonts w:ascii="Arial" w:hAnsi="Arial" w:cs="Arial"/>
          <w:sz w:val="24"/>
          <w:szCs w:val="24"/>
        </w:rPr>
        <w:t xml:space="preserve"> </w:t>
      </w:r>
      <w:r w:rsidR="00EA78FE" w:rsidRPr="000D670F">
        <w:rPr>
          <w:rFonts w:ascii="Arial" w:hAnsi="Arial" w:cs="Arial"/>
          <w:sz w:val="24"/>
          <w:szCs w:val="24"/>
        </w:rPr>
        <w:t xml:space="preserve">“prompt outcry” </w:t>
      </w:r>
      <w:r w:rsidR="00F947AC" w:rsidRPr="000D670F">
        <w:rPr>
          <w:rFonts w:ascii="Arial" w:hAnsi="Arial" w:cs="Arial"/>
          <w:sz w:val="24"/>
          <w:szCs w:val="24"/>
        </w:rPr>
        <w:t>charge.</w:t>
      </w:r>
      <w:r w:rsidR="00DD3BF3" w:rsidRPr="000D670F">
        <w:rPr>
          <w:rFonts w:ascii="Arial" w:hAnsi="Arial" w:cs="Arial"/>
          <w:sz w:val="24"/>
          <w:szCs w:val="24"/>
        </w:rPr>
        <w:t xml:space="preserve"> </w:t>
      </w:r>
      <w:r w:rsidR="00F947AC" w:rsidRPr="000D670F">
        <w:rPr>
          <w:rFonts w:ascii="Arial" w:hAnsi="Arial" w:cs="Arial"/>
          <w:sz w:val="24"/>
          <w:szCs w:val="24"/>
        </w:rPr>
        <w:t xml:space="preserve"> </w:t>
      </w:r>
      <w:r w:rsidR="003E7435" w:rsidRPr="000D670F">
        <w:rPr>
          <w:rFonts w:ascii="Arial" w:hAnsi="Arial" w:cs="Arial"/>
          <w:sz w:val="24"/>
          <w:szCs w:val="24"/>
        </w:rPr>
        <w:t xml:space="preserve">E.g. </w:t>
      </w:r>
      <w:r w:rsidR="002F0ABB" w:rsidRPr="000D670F">
        <w:rPr>
          <w:rFonts w:ascii="Arial" w:eastAsia="Times New Roman" w:hAnsi="Arial" w:cs="Arial"/>
          <w:i/>
          <w:iCs/>
          <w:sz w:val="24"/>
          <w:szCs w:val="24"/>
        </w:rPr>
        <w:t>People v Bernardez</w:t>
      </w:r>
      <w:r w:rsidR="002F0ABB" w:rsidRPr="000D670F">
        <w:rPr>
          <w:rFonts w:ascii="Arial" w:eastAsia="Times New Roman" w:hAnsi="Arial" w:cs="Arial"/>
          <w:sz w:val="24"/>
          <w:szCs w:val="24"/>
        </w:rPr>
        <w:t xml:space="preserve">, 85 AD3d 936, 938 [2d Dept 2011] [“the trial court instructed the jury regarding the proper use of “prompt outcry” evidence, tracking the language of New York's Criminal Jury Instructions (CJI.2d [NY] Prompt Outcry”]; </w:t>
      </w:r>
      <w:r w:rsidR="002F0ABB" w:rsidRPr="000D670F">
        <w:rPr>
          <w:rFonts w:ascii="Arial" w:eastAsia="Times New Roman" w:hAnsi="Arial" w:cs="Arial"/>
          <w:i/>
          <w:iCs/>
          <w:sz w:val="24"/>
          <w:szCs w:val="24"/>
        </w:rPr>
        <w:t>People v McCray</w:t>
      </w:r>
      <w:r w:rsidR="002F0ABB" w:rsidRPr="000D670F">
        <w:rPr>
          <w:rFonts w:ascii="Arial" w:eastAsia="Times New Roman" w:hAnsi="Arial" w:cs="Arial"/>
          <w:sz w:val="24"/>
          <w:szCs w:val="24"/>
        </w:rPr>
        <w:t xml:space="preserve">, 102 AD3d 1000, 1009 [3d Dept 2013] </w:t>
      </w:r>
      <w:r w:rsidR="002F0ABB" w:rsidRPr="000D670F">
        <w:rPr>
          <w:rFonts w:ascii="Arial" w:eastAsia="Times New Roman" w:hAnsi="Arial" w:cs="Arial"/>
          <w:i/>
          <w:iCs/>
          <w:sz w:val="24"/>
          <w:szCs w:val="24"/>
        </w:rPr>
        <w:t>affd People v McCray</w:t>
      </w:r>
      <w:r w:rsidR="002F0ABB" w:rsidRPr="000D670F">
        <w:rPr>
          <w:rFonts w:ascii="Arial" w:eastAsia="Times New Roman" w:hAnsi="Arial" w:cs="Arial"/>
          <w:sz w:val="24"/>
          <w:szCs w:val="24"/>
        </w:rPr>
        <w:t>, 23 NY3d 193 [2014] [“the outcry testimony was accurately limited to the fact that a complaint was made and the court gave an appropriate prompt outcry instruction in its charge to the jury (</w:t>
      </w:r>
      <w:r w:rsidR="002F0ABB" w:rsidRPr="000D670F">
        <w:rPr>
          <w:rFonts w:ascii="Arial" w:eastAsia="Times New Roman" w:hAnsi="Arial" w:cs="Arial"/>
          <w:i/>
          <w:iCs/>
          <w:sz w:val="24"/>
          <w:szCs w:val="24"/>
        </w:rPr>
        <w:t>see</w:t>
      </w:r>
      <w:r w:rsidR="002F0ABB" w:rsidRPr="000D670F">
        <w:rPr>
          <w:rFonts w:ascii="Arial" w:eastAsia="Times New Roman" w:hAnsi="Arial" w:cs="Arial"/>
          <w:sz w:val="24"/>
          <w:szCs w:val="24"/>
        </w:rPr>
        <w:t xml:space="preserve"> CJI2d [N.Y.] Prompt Outcry</w:t>
      </w:r>
      <w:r w:rsidR="002F0ABB" w:rsidRPr="000D670F">
        <w:rPr>
          <w:rFonts w:ascii="Arial" w:eastAsia="Times New Roman" w:hAnsi="Arial" w:cs="Arial"/>
          <w:sz w:val="24"/>
          <w:szCs w:val="24"/>
          <w:shd w:val="clear" w:color="auto" w:fill="FFFFFF"/>
        </w:rPr>
        <w:t xml:space="preserve">”]; </w:t>
      </w:r>
      <w:r w:rsidR="002F0ABB" w:rsidRPr="000D670F">
        <w:rPr>
          <w:rFonts w:ascii="Arial" w:eastAsia="Times New Roman" w:hAnsi="Arial" w:cs="Arial"/>
          <w:i/>
          <w:iCs/>
          <w:sz w:val="24"/>
          <w:szCs w:val="24"/>
        </w:rPr>
        <w:t>People v Green</w:t>
      </w:r>
      <w:r w:rsidR="002F0ABB" w:rsidRPr="000D670F">
        <w:rPr>
          <w:rFonts w:ascii="Arial" w:eastAsia="Times New Roman" w:hAnsi="Arial" w:cs="Arial"/>
          <w:sz w:val="24"/>
          <w:szCs w:val="24"/>
        </w:rPr>
        <w:t>, 108 AD3d 782, 785 [3d Dept 2013] [“Supreme Court's instruction was fair, balanced,</w:t>
      </w:r>
      <w:r w:rsidR="005C7E80" w:rsidRPr="000D670F">
        <w:rPr>
          <w:rFonts w:ascii="Arial" w:eastAsia="Times New Roman" w:hAnsi="Arial" w:cs="Arial"/>
          <w:sz w:val="24"/>
          <w:szCs w:val="24"/>
        </w:rPr>
        <w:t xml:space="preserve"> [and]</w:t>
      </w:r>
      <w:r w:rsidR="002F0ABB" w:rsidRPr="000D670F">
        <w:rPr>
          <w:rFonts w:ascii="Arial" w:eastAsia="Times New Roman" w:hAnsi="Arial" w:cs="Arial"/>
          <w:sz w:val="24"/>
          <w:szCs w:val="24"/>
        </w:rPr>
        <w:t xml:space="preserve"> followed the Criminal Jury Instructions very closely (</w:t>
      </w:r>
      <w:r w:rsidR="002F0ABB" w:rsidRPr="000D670F">
        <w:rPr>
          <w:rFonts w:ascii="Arial" w:eastAsia="Times New Roman" w:hAnsi="Arial" w:cs="Arial"/>
          <w:i/>
          <w:iCs/>
          <w:sz w:val="24"/>
          <w:szCs w:val="24"/>
        </w:rPr>
        <w:t>see</w:t>
      </w:r>
      <w:r w:rsidR="002F0ABB" w:rsidRPr="000D670F">
        <w:rPr>
          <w:rFonts w:ascii="Arial" w:eastAsia="Times New Roman" w:hAnsi="Arial" w:cs="Arial"/>
          <w:sz w:val="24"/>
          <w:szCs w:val="24"/>
        </w:rPr>
        <w:t xml:space="preserve"> CJI2d[N.Y.] Prompt Outcry)</w:t>
      </w:r>
      <w:r w:rsidR="008443E6" w:rsidRPr="000D670F">
        <w:rPr>
          <w:rFonts w:ascii="Arial" w:eastAsia="Times New Roman" w:hAnsi="Arial" w:cs="Arial"/>
          <w:sz w:val="24"/>
          <w:szCs w:val="24"/>
        </w:rPr>
        <w:t>.</w:t>
      </w:r>
      <w:r w:rsidR="002F0ABB" w:rsidRPr="000D670F">
        <w:rPr>
          <w:rFonts w:ascii="Arial" w:eastAsia="Times New Roman" w:hAnsi="Arial" w:cs="Arial"/>
          <w:sz w:val="24"/>
          <w:szCs w:val="24"/>
        </w:rPr>
        <w:t>”]</w:t>
      </w:r>
      <w:r w:rsidR="00FC00F4" w:rsidRPr="000D670F">
        <w:rPr>
          <w:rFonts w:ascii="Arial" w:eastAsia="Times New Roman" w:hAnsi="Arial" w:cs="Arial"/>
          <w:sz w:val="24"/>
          <w:szCs w:val="24"/>
        </w:rPr>
        <w:t xml:space="preserve">  </w:t>
      </w:r>
      <w:r w:rsidR="000D7909" w:rsidRPr="000D670F">
        <w:rPr>
          <w:rFonts w:ascii="Arial" w:eastAsia="Times New Roman" w:hAnsi="Arial" w:cs="Arial"/>
          <w:i/>
          <w:iCs/>
          <w:sz w:val="24"/>
          <w:szCs w:val="24"/>
        </w:rPr>
        <w:t>Green</w:t>
      </w:r>
      <w:r w:rsidR="000D7909" w:rsidRPr="000D670F">
        <w:rPr>
          <w:rFonts w:ascii="Arial" w:eastAsia="Times New Roman" w:hAnsi="Arial" w:cs="Arial"/>
          <w:sz w:val="24"/>
          <w:szCs w:val="24"/>
        </w:rPr>
        <w:t xml:space="preserve"> also reject</w:t>
      </w:r>
      <w:r w:rsidR="00387095" w:rsidRPr="000D670F">
        <w:rPr>
          <w:rFonts w:ascii="Arial" w:eastAsia="Times New Roman" w:hAnsi="Arial" w:cs="Arial"/>
          <w:sz w:val="24"/>
          <w:szCs w:val="24"/>
        </w:rPr>
        <w:t>ed</w:t>
      </w:r>
      <w:r w:rsidR="000D7909" w:rsidRPr="000D670F">
        <w:rPr>
          <w:rFonts w:ascii="Arial" w:eastAsia="Times New Roman" w:hAnsi="Arial" w:cs="Arial"/>
          <w:sz w:val="24"/>
          <w:szCs w:val="24"/>
        </w:rPr>
        <w:t xml:space="preserve"> the defendant’s argument that the </w:t>
      </w:r>
      <w:r w:rsidR="00270923" w:rsidRPr="000D670F">
        <w:rPr>
          <w:rFonts w:ascii="Arial" w:eastAsia="Times New Roman" w:hAnsi="Arial" w:cs="Arial"/>
          <w:sz w:val="24"/>
          <w:szCs w:val="24"/>
        </w:rPr>
        <w:t xml:space="preserve">trial court </w:t>
      </w:r>
      <w:r w:rsidR="000D7909" w:rsidRPr="000D670F">
        <w:rPr>
          <w:rFonts w:ascii="Arial" w:eastAsia="Times New Roman" w:hAnsi="Arial" w:cs="Arial"/>
          <w:sz w:val="24"/>
          <w:szCs w:val="24"/>
        </w:rPr>
        <w:t>“</w:t>
      </w:r>
      <w:r w:rsidR="00C72731" w:rsidRPr="000D670F">
        <w:rPr>
          <w:rFonts w:ascii="Arial" w:eastAsia="Times New Roman" w:hAnsi="Arial" w:cs="Arial"/>
          <w:sz w:val="24"/>
          <w:szCs w:val="24"/>
        </w:rPr>
        <w:t xml:space="preserve"> ‘</w:t>
      </w:r>
      <w:r w:rsidR="000D7909" w:rsidRPr="000D670F">
        <w:rPr>
          <w:rFonts w:ascii="Arial" w:eastAsia="Times New Roman" w:hAnsi="Arial" w:cs="Arial"/>
          <w:sz w:val="24"/>
          <w:szCs w:val="24"/>
        </w:rPr>
        <w:t>usurped his right to chart his own defense</w:t>
      </w:r>
      <w:r w:rsidR="00270923" w:rsidRPr="000D670F">
        <w:rPr>
          <w:rFonts w:ascii="Arial" w:eastAsia="Times New Roman" w:hAnsi="Arial" w:cs="Arial"/>
          <w:sz w:val="24"/>
          <w:szCs w:val="24"/>
        </w:rPr>
        <w:t>’</w:t>
      </w:r>
      <w:r w:rsidR="000D7909" w:rsidRPr="000D670F">
        <w:rPr>
          <w:rFonts w:ascii="Arial" w:eastAsia="Times New Roman" w:hAnsi="Arial" w:cs="Arial"/>
          <w:sz w:val="24"/>
          <w:szCs w:val="24"/>
        </w:rPr>
        <w:t xml:space="preserve"> by administering the prompt outcry charge over his objection</w:t>
      </w:r>
      <w:r w:rsidR="00270923" w:rsidRPr="000D670F">
        <w:rPr>
          <w:rFonts w:ascii="Arial" w:eastAsia="Times New Roman" w:hAnsi="Arial" w:cs="Arial"/>
          <w:sz w:val="24"/>
          <w:szCs w:val="24"/>
        </w:rPr>
        <w:t xml:space="preserve">.” </w:t>
      </w:r>
      <w:r w:rsidR="000D7909" w:rsidRPr="000D670F">
        <w:rPr>
          <w:rFonts w:ascii="Arial" w:eastAsia="Times New Roman" w:hAnsi="Arial" w:cs="Arial"/>
          <w:i/>
          <w:iCs/>
          <w:sz w:val="24"/>
          <w:szCs w:val="24"/>
        </w:rPr>
        <w:t>Green</w:t>
      </w:r>
      <w:r w:rsidR="00270923" w:rsidRPr="000D670F">
        <w:rPr>
          <w:rFonts w:ascii="Arial" w:eastAsia="Times New Roman" w:hAnsi="Arial" w:cs="Arial"/>
          <w:sz w:val="24"/>
          <w:szCs w:val="24"/>
        </w:rPr>
        <w:t xml:space="preserve"> at </w:t>
      </w:r>
      <w:r w:rsidR="000D7909" w:rsidRPr="000D670F">
        <w:rPr>
          <w:rFonts w:ascii="Arial" w:eastAsia="Times New Roman" w:hAnsi="Arial" w:cs="Arial"/>
          <w:sz w:val="24"/>
          <w:szCs w:val="24"/>
        </w:rPr>
        <w:t>785</w:t>
      </w:r>
      <w:r w:rsidR="00270923" w:rsidRPr="000D670F">
        <w:rPr>
          <w:rFonts w:ascii="Arial" w:eastAsia="Times New Roman" w:hAnsi="Arial" w:cs="Arial"/>
          <w:sz w:val="24"/>
          <w:szCs w:val="24"/>
        </w:rPr>
        <w:t xml:space="preserve">. </w:t>
      </w:r>
      <w:r w:rsidR="007402D3" w:rsidRPr="000D670F">
        <w:rPr>
          <w:rFonts w:ascii="Arial" w:eastAsia="Times New Roman" w:hAnsi="Arial" w:cs="Arial"/>
          <w:sz w:val="24"/>
          <w:szCs w:val="24"/>
        </w:rPr>
        <w:tab/>
      </w:r>
    </w:p>
  </w:endnote>
  <w:endnote w:id="2">
    <w:p w14:paraId="5793DEEB" w14:textId="14E0C0F8" w:rsidR="00174266" w:rsidRPr="000D670F" w:rsidRDefault="00174266" w:rsidP="007C6DA2">
      <w:pPr>
        <w:tabs>
          <w:tab w:val="left" w:pos="216"/>
          <w:tab w:val="left" w:pos="288"/>
        </w:tabs>
        <w:jc w:val="both"/>
        <w:textAlignment w:val="baseline"/>
        <w:rPr>
          <w:rFonts w:ascii="Arial" w:hAnsi="Arial" w:cs="Arial"/>
          <w:b/>
          <w:bCs/>
          <w:sz w:val="24"/>
          <w:szCs w:val="24"/>
        </w:rPr>
      </w:pPr>
      <w:r w:rsidRPr="000D670F">
        <w:rPr>
          <w:rStyle w:val="EndnoteReference"/>
          <w:rFonts w:ascii="Arial" w:hAnsi="Arial" w:cs="Arial"/>
          <w:b/>
          <w:bCs/>
          <w:sz w:val="24"/>
          <w:szCs w:val="24"/>
        </w:rPr>
        <w:endnoteRef/>
      </w:r>
      <w:r w:rsidRPr="000D670F">
        <w:rPr>
          <w:rFonts w:ascii="Arial" w:hAnsi="Arial" w:cs="Arial"/>
          <w:b/>
          <w:bCs/>
          <w:sz w:val="24"/>
          <w:szCs w:val="24"/>
        </w:rPr>
        <w:t xml:space="preserve"> </w:t>
      </w:r>
      <w:r w:rsidR="00B735ED" w:rsidRPr="000D670F">
        <w:rPr>
          <w:rFonts w:ascii="Arial" w:eastAsia="Times New Roman" w:hAnsi="Arial" w:cs="Arial"/>
          <w:sz w:val="24"/>
          <w:szCs w:val="24"/>
        </w:rPr>
        <w:t>Since its first edition, CJI has required that the outcry be made promptly or within a “reasonable period of time” after its alleged commission.”  That formulation encapsulates Court of Appeals decisions that have noted that an outcry is “prompt” if it occurs at “the first suitable opportunity” [</w:t>
      </w:r>
      <w:r w:rsidR="00B735ED" w:rsidRPr="000D670F">
        <w:rPr>
          <w:rFonts w:ascii="Arial" w:eastAsia="Times New Roman" w:hAnsi="Arial" w:cs="Arial"/>
          <w:i/>
          <w:iCs/>
          <w:sz w:val="24"/>
          <w:szCs w:val="24"/>
        </w:rPr>
        <w:t>People v. Rosario</w:t>
      </w:r>
      <w:r w:rsidR="00B735ED" w:rsidRPr="000D670F">
        <w:rPr>
          <w:rFonts w:ascii="Arial" w:eastAsia="Times New Roman" w:hAnsi="Arial" w:cs="Arial"/>
          <w:sz w:val="24"/>
          <w:szCs w:val="24"/>
        </w:rPr>
        <w:t xml:space="preserve">, 17 NY3d 501, 512, 515 (2011); </w:t>
      </w:r>
      <w:r w:rsidR="00B735ED" w:rsidRPr="000D670F">
        <w:rPr>
          <w:rFonts w:ascii="Arial" w:eastAsia="Times New Roman" w:hAnsi="Arial" w:cs="Arial"/>
          <w:i/>
          <w:iCs/>
          <w:sz w:val="24"/>
          <w:szCs w:val="24"/>
        </w:rPr>
        <w:t>People v Shelton</w:t>
      </w:r>
      <w:r w:rsidR="00B735ED" w:rsidRPr="000D670F">
        <w:rPr>
          <w:rFonts w:ascii="Arial" w:eastAsia="Times New Roman" w:hAnsi="Arial" w:cs="Arial"/>
          <w:sz w:val="24"/>
          <w:szCs w:val="24"/>
        </w:rPr>
        <w:t xml:space="preserve">, 1 NY3d 614, 615 (2004)] and that what constitutes the first suitable opportunity “is a relative concept dependent on the facts.” </w:t>
      </w:r>
      <w:r w:rsidR="00B735ED" w:rsidRPr="000D670F">
        <w:rPr>
          <w:rFonts w:ascii="Arial" w:eastAsia="Times New Roman" w:hAnsi="Arial" w:cs="Arial"/>
          <w:i/>
          <w:iCs/>
          <w:sz w:val="24"/>
          <w:szCs w:val="24"/>
        </w:rPr>
        <w:t>People v. McDaniel</w:t>
      </w:r>
      <w:r w:rsidR="00B735ED" w:rsidRPr="000D670F">
        <w:rPr>
          <w:rFonts w:ascii="Arial" w:eastAsia="Times New Roman" w:hAnsi="Arial" w:cs="Arial"/>
          <w:sz w:val="24"/>
          <w:szCs w:val="24"/>
        </w:rPr>
        <w:t xml:space="preserve">, 81 NY2d </w:t>
      </w:r>
      <w:r w:rsidR="0081042A" w:rsidRPr="000D670F">
        <w:rPr>
          <w:rFonts w:ascii="Arial" w:eastAsia="Times New Roman" w:hAnsi="Arial" w:cs="Arial"/>
          <w:sz w:val="24"/>
          <w:szCs w:val="24"/>
        </w:rPr>
        <w:t xml:space="preserve">10, </w:t>
      </w:r>
      <w:r w:rsidR="00B735ED" w:rsidRPr="000D670F">
        <w:rPr>
          <w:rFonts w:ascii="Arial" w:eastAsia="Times New Roman" w:hAnsi="Arial" w:cs="Arial"/>
          <w:sz w:val="24"/>
          <w:szCs w:val="24"/>
        </w:rPr>
        <w:t>17</w:t>
      </w:r>
      <w:r w:rsidR="0081042A" w:rsidRPr="000D670F">
        <w:rPr>
          <w:rFonts w:ascii="Arial" w:eastAsia="Times New Roman" w:hAnsi="Arial" w:cs="Arial"/>
          <w:sz w:val="24"/>
          <w:szCs w:val="24"/>
        </w:rPr>
        <w:t xml:space="preserve"> (1993)</w:t>
      </w:r>
      <w:r w:rsidR="004A0C40" w:rsidRPr="000D670F">
        <w:rPr>
          <w:rFonts w:ascii="Arial" w:eastAsia="Times New Roman" w:hAnsi="Arial" w:cs="Arial"/>
          <w:sz w:val="24"/>
          <w:szCs w:val="24"/>
        </w:rPr>
        <w:t>.</w:t>
      </w:r>
    </w:p>
  </w:endnote>
  <w:endnote w:id="3">
    <w:p w14:paraId="249552F6" w14:textId="77777777" w:rsidR="004247AF" w:rsidRPr="000D670F" w:rsidRDefault="004247AF" w:rsidP="0004644C">
      <w:pPr>
        <w:tabs>
          <w:tab w:val="left" w:pos="216"/>
          <w:tab w:val="left" w:pos="288"/>
        </w:tabs>
        <w:spacing w:before="244" w:line="276" w:lineRule="auto"/>
        <w:jc w:val="both"/>
        <w:textAlignment w:val="baseline"/>
        <w:rPr>
          <w:rFonts w:ascii="Arial" w:eastAsia="Arial" w:hAnsi="Arial" w:cs="Arial"/>
          <w:i/>
          <w:color w:val="000000"/>
          <w:sz w:val="24"/>
          <w:szCs w:val="24"/>
        </w:rPr>
      </w:pPr>
      <w:r w:rsidRPr="000D670F">
        <w:rPr>
          <w:rStyle w:val="EndnoteReference"/>
          <w:rFonts w:ascii="Arial" w:hAnsi="Arial" w:cs="Arial"/>
          <w:sz w:val="24"/>
          <w:szCs w:val="24"/>
        </w:rPr>
        <w:endnoteRef/>
      </w:r>
      <w:r w:rsidRPr="000D670F">
        <w:rPr>
          <w:rFonts w:ascii="Arial" w:hAnsi="Arial" w:cs="Arial"/>
          <w:sz w:val="24"/>
          <w:szCs w:val="24"/>
        </w:rPr>
        <w:t xml:space="preserve"> </w:t>
      </w:r>
      <w:r w:rsidRPr="000D670F">
        <w:rPr>
          <w:rFonts w:ascii="Arial" w:eastAsia="Arial" w:hAnsi="Arial" w:cs="Arial"/>
          <w:i/>
          <w:color w:val="000000"/>
          <w:sz w:val="24"/>
          <w:szCs w:val="24"/>
        </w:rPr>
        <w:t xml:space="preserve">People v Williams, </w:t>
      </w:r>
      <w:r w:rsidRPr="000D670F">
        <w:rPr>
          <w:rFonts w:ascii="Arial" w:eastAsia="Arial" w:hAnsi="Arial" w:cs="Arial"/>
          <w:color w:val="000000"/>
          <w:sz w:val="24"/>
          <w:szCs w:val="24"/>
        </w:rPr>
        <w:t>75 NY2d 858 (1990).</w:t>
      </w:r>
    </w:p>
    <w:p w14:paraId="14DDAFEA" w14:textId="0F9C7D63" w:rsidR="004247AF" w:rsidRPr="000D670F" w:rsidRDefault="004247AF" w:rsidP="0004644C">
      <w:pPr>
        <w:pStyle w:val="EndnoteText"/>
        <w:spacing w:line="276" w:lineRule="auto"/>
        <w:rPr>
          <w:rFonts w:ascii="Arial" w:hAnsi="Arial" w:cs="Arial"/>
          <w:sz w:val="24"/>
          <w:szCs w:val="24"/>
        </w:rPr>
      </w:pPr>
    </w:p>
  </w:endnote>
  <w:endnote w:id="4">
    <w:p w14:paraId="49192C63" w14:textId="77777777" w:rsidR="004247AF" w:rsidRPr="000D670F" w:rsidRDefault="004247AF" w:rsidP="0004644C">
      <w:pPr>
        <w:pStyle w:val="EndnoteText"/>
        <w:spacing w:line="276" w:lineRule="auto"/>
        <w:rPr>
          <w:rFonts w:ascii="Arial" w:hAnsi="Arial" w:cs="Arial"/>
          <w:i/>
          <w:sz w:val="24"/>
          <w:szCs w:val="24"/>
        </w:rPr>
      </w:pPr>
      <w:r w:rsidRPr="000D670F">
        <w:rPr>
          <w:rStyle w:val="EndnoteReference"/>
          <w:rFonts w:ascii="Arial" w:hAnsi="Arial" w:cs="Arial"/>
          <w:sz w:val="24"/>
          <w:szCs w:val="24"/>
        </w:rPr>
        <w:endnoteRef/>
      </w:r>
      <w:r w:rsidRPr="000D670F">
        <w:rPr>
          <w:rFonts w:ascii="Arial" w:hAnsi="Arial" w:cs="Arial"/>
          <w:sz w:val="24"/>
          <w:szCs w:val="24"/>
        </w:rPr>
        <w:t xml:space="preserve"> </w:t>
      </w:r>
      <w:r w:rsidRPr="000D670F">
        <w:rPr>
          <w:rFonts w:ascii="Arial" w:hAnsi="Arial" w:cs="Arial"/>
          <w:i/>
          <w:sz w:val="24"/>
          <w:szCs w:val="24"/>
        </w:rPr>
        <w:t xml:space="preserve">People v Geddes, </w:t>
      </w:r>
      <w:r w:rsidRPr="000D670F">
        <w:rPr>
          <w:rFonts w:ascii="Arial" w:hAnsi="Arial" w:cs="Arial"/>
          <w:sz w:val="24"/>
          <w:szCs w:val="24"/>
        </w:rPr>
        <w:t>186 A.D.2d 993 (4</w:t>
      </w:r>
      <w:r w:rsidRPr="000D670F">
        <w:rPr>
          <w:rFonts w:ascii="Arial" w:hAnsi="Arial" w:cs="Arial"/>
          <w:sz w:val="24"/>
          <w:szCs w:val="24"/>
          <w:vertAlign w:val="superscript"/>
        </w:rPr>
        <w:t>th</w:t>
      </w:r>
      <w:r w:rsidRPr="000D670F">
        <w:rPr>
          <w:rFonts w:ascii="Arial" w:hAnsi="Arial" w:cs="Arial"/>
          <w:sz w:val="24"/>
          <w:szCs w:val="24"/>
        </w:rPr>
        <w:t xml:space="preserve"> Dept 1992).</w:t>
      </w:r>
    </w:p>
    <w:p w14:paraId="5261CEAE" w14:textId="77777777" w:rsidR="004247AF" w:rsidRPr="000D670F" w:rsidRDefault="004247AF" w:rsidP="0004644C">
      <w:pPr>
        <w:pStyle w:val="EndnoteText"/>
        <w:spacing w:line="276" w:lineRule="auto"/>
        <w:rPr>
          <w:rFonts w:ascii="Arial" w:hAnsi="Arial" w:cs="Arial"/>
          <w:sz w:val="24"/>
          <w:szCs w:val="24"/>
        </w:rPr>
      </w:pPr>
    </w:p>
  </w:endnote>
  <w:endnote w:id="5">
    <w:p w14:paraId="712402C2" w14:textId="718CA77E" w:rsidR="00EC0B03" w:rsidRPr="000D670F" w:rsidRDefault="009C5BB7" w:rsidP="00D82568">
      <w:pPr>
        <w:pStyle w:val="EndnoteText"/>
        <w:jc w:val="both"/>
        <w:rPr>
          <w:rFonts w:ascii="Arial" w:eastAsia="Calibri" w:hAnsi="Arial" w:cs="Arial"/>
          <w:sz w:val="24"/>
          <w:szCs w:val="24"/>
        </w:rPr>
      </w:pPr>
      <w:r w:rsidRPr="000D670F">
        <w:rPr>
          <w:rStyle w:val="EndnoteReference"/>
          <w:rFonts w:ascii="Arial" w:hAnsi="Arial" w:cs="Arial"/>
          <w:sz w:val="24"/>
          <w:szCs w:val="24"/>
        </w:rPr>
        <w:endnoteRef/>
      </w:r>
      <w:r w:rsidRPr="000D670F">
        <w:rPr>
          <w:rFonts w:ascii="Arial" w:hAnsi="Arial" w:cs="Arial"/>
          <w:sz w:val="24"/>
          <w:szCs w:val="24"/>
        </w:rPr>
        <w:t xml:space="preserve"> </w:t>
      </w:r>
      <w:r w:rsidRPr="000D670F">
        <w:rPr>
          <w:rFonts w:ascii="Arial" w:eastAsia="Arial" w:hAnsi="Arial" w:cs="Arial"/>
          <w:i/>
          <w:color w:val="000000"/>
          <w:spacing w:val="-4"/>
          <w:sz w:val="24"/>
          <w:szCs w:val="24"/>
        </w:rPr>
        <w:t xml:space="preserve">See </w:t>
      </w:r>
      <w:r w:rsidR="00A53E73" w:rsidRPr="000D670F">
        <w:rPr>
          <w:rFonts w:ascii="Arial" w:eastAsia="Arial" w:hAnsi="Arial" w:cs="Arial"/>
          <w:i/>
          <w:color w:val="000000"/>
          <w:spacing w:val="-4"/>
          <w:sz w:val="24"/>
          <w:szCs w:val="24"/>
        </w:rPr>
        <w:t xml:space="preserve">Baccio v People, </w:t>
      </w:r>
      <w:r w:rsidR="00A53E73" w:rsidRPr="000D670F">
        <w:rPr>
          <w:rFonts w:ascii="Arial" w:eastAsia="Arial" w:hAnsi="Arial" w:cs="Arial"/>
          <w:color w:val="000000"/>
          <w:spacing w:val="-4"/>
          <w:sz w:val="24"/>
          <w:szCs w:val="24"/>
        </w:rPr>
        <w:t>41 NY 265, 271 (1869)</w:t>
      </w:r>
      <w:r w:rsidR="00A53E73" w:rsidRPr="000D670F">
        <w:rPr>
          <w:rFonts w:ascii="Arial" w:eastAsia="Arial" w:hAnsi="Arial" w:cs="Arial"/>
          <w:i/>
          <w:color w:val="000000"/>
          <w:spacing w:val="-4"/>
          <w:sz w:val="24"/>
          <w:szCs w:val="24"/>
        </w:rPr>
        <w:t xml:space="preserve"> </w:t>
      </w:r>
      <w:r w:rsidR="00A53E73" w:rsidRPr="000D670F">
        <w:rPr>
          <w:rFonts w:ascii="Arial" w:eastAsia="Arial" w:hAnsi="Arial" w:cs="Arial"/>
          <w:color w:val="000000"/>
          <w:spacing w:val="-4"/>
          <w:sz w:val="24"/>
          <w:szCs w:val="24"/>
        </w:rPr>
        <w:t xml:space="preserve">(“it is perhaps competent to explain the want of [an] early complaint, by facts which show that it was impracticable, or that it was prevented by circumstances consistent with the nature impulse to complain thereof”);  </w:t>
      </w:r>
      <w:r w:rsidR="00B979B0" w:rsidRPr="000D670F">
        <w:rPr>
          <w:rFonts w:ascii="Arial" w:eastAsia="Times New Roman" w:hAnsi="Arial" w:cs="Arial"/>
          <w:i/>
          <w:iCs/>
          <w:sz w:val="24"/>
          <w:szCs w:val="24"/>
        </w:rPr>
        <w:t xml:space="preserve">People v. </w:t>
      </w:r>
      <w:r w:rsidR="00EC0B03" w:rsidRPr="000D670F">
        <w:rPr>
          <w:rFonts w:ascii="Arial" w:eastAsia="Times New Roman" w:hAnsi="Arial" w:cs="Arial"/>
          <w:i/>
          <w:iCs/>
          <w:sz w:val="24"/>
          <w:szCs w:val="24"/>
        </w:rPr>
        <w:t>O'Sullivan</w:t>
      </w:r>
      <w:r w:rsidR="00EC0B03" w:rsidRPr="000D670F">
        <w:rPr>
          <w:rFonts w:ascii="Arial" w:eastAsia="Times New Roman" w:hAnsi="Arial" w:cs="Arial"/>
          <w:sz w:val="24"/>
          <w:szCs w:val="24"/>
        </w:rPr>
        <w:t>, 104 N.Y. 481, 489–90 (1887)</w:t>
      </w:r>
      <w:r w:rsidR="00C05DBA" w:rsidRPr="000D670F">
        <w:rPr>
          <w:rFonts w:ascii="Arial" w:eastAsia="Times New Roman" w:hAnsi="Arial" w:cs="Arial"/>
          <w:sz w:val="24"/>
          <w:szCs w:val="24"/>
        </w:rPr>
        <w:t xml:space="preserve"> (</w:t>
      </w:r>
      <w:r w:rsidR="00EC0B03" w:rsidRPr="000D670F">
        <w:rPr>
          <w:rFonts w:ascii="Arial" w:eastAsia="Times New Roman" w:hAnsi="Arial" w:cs="Arial"/>
          <w:sz w:val="24"/>
          <w:szCs w:val="24"/>
        </w:rPr>
        <w:t>“there may be circumstances which will excuse delay, as when the prosecutrix is under the physical control of the defendant, when she is among strangers and there is no one in whom she can confide, when she is induced to silence by threats, and is so far within the power or reach of the defendant that the threats may be executed. In such and other like cases delay may be excused, and the disclosure may be proved, and all the facts submitted to the jury for them to determine what weight shall be given to the disclosure, and what effect the delay shall have</w:t>
      </w:r>
      <w:r w:rsidR="002F5059" w:rsidRPr="000D670F">
        <w:rPr>
          <w:rFonts w:ascii="Arial" w:eastAsia="Times New Roman" w:hAnsi="Arial" w:cs="Arial"/>
          <w:sz w:val="24"/>
          <w:szCs w:val="24"/>
        </w:rPr>
        <w:t>”);</w:t>
      </w:r>
      <w:r w:rsidR="00EC0B03" w:rsidRPr="000D670F">
        <w:rPr>
          <w:rFonts w:ascii="Arial" w:eastAsia="Times New Roman" w:hAnsi="Arial" w:cs="Arial"/>
          <w:sz w:val="24"/>
          <w:szCs w:val="24"/>
        </w:rPr>
        <w:t xml:space="preserve"> </w:t>
      </w:r>
      <w:r w:rsidR="004B49E6" w:rsidRPr="000D670F">
        <w:rPr>
          <w:rFonts w:ascii="Arial" w:eastAsia="Calibri" w:hAnsi="Arial" w:cs="Arial"/>
          <w:i/>
          <w:sz w:val="24"/>
          <w:szCs w:val="24"/>
          <w:lang w:val="x-none"/>
        </w:rPr>
        <w:t>People v. Nicholson</w:t>
      </w:r>
      <w:r w:rsidR="004B49E6" w:rsidRPr="000D670F">
        <w:rPr>
          <w:rFonts w:ascii="Arial" w:eastAsia="Calibri" w:hAnsi="Arial" w:cs="Arial"/>
          <w:sz w:val="24"/>
          <w:szCs w:val="24"/>
          <w:lang w:val="x-none"/>
        </w:rPr>
        <w:t>, 26 N.Y.3d 813 (2016)</w:t>
      </w:r>
      <w:r w:rsidR="00C218D6" w:rsidRPr="000D670F">
        <w:rPr>
          <w:rFonts w:ascii="Arial" w:eastAsia="Calibri" w:hAnsi="Arial" w:cs="Arial"/>
          <w:sz w:val="24"/>
          <w:szCs w:val="24"/>
        </w:rPr>
        <w:t xml:space="preserve"> (</w:t>
      </w:r>
      <w:r w:rsidR="004B49E6" w:rsidRPr="000D670F">
        <w:rPr>
          <w:rFonts w:ascii="Arial" w:eastAsia="Calibri" w:hAnsi="Arial" w:cs="Arial"/>
          <w:sz w:val="24"/>
          <w:szCs w:val="24"/>
          <w:lang w:val="x-none"/>
        </w:rPr>
        <w:t>In a child sexual assault case, the victim could testify to</w:t>
      </w:r>
      <w:r w:rsidR="00C218D6" w:rsidRPr="000D670F">
        <w:rPr>
          <w:rFonts w:ascii="Arial" w:eastAsia="Calibri" w:hAnsi="Arial" w:cs="Arial"/>
          <w:sz w:val="24"/>
          <w:szCs w:val="24"/>
        </w:rPr>
        <w:t xml:space="preserve"> </w:t>
      </w:r>
      <w:r w:rsidR="004B49E6" w:rsidRPr="000D670F">
        <w:rPr>
          <w:rFonts w:ascii="Arial" w:eastAsia="Calibri" w:hAnsi="Arial" w:cs="Arial"/>
          <w:sz w:val="24"/>
          <w:szCs w:val="24"/>
          <w:lang w:val="x-none"/>
        </w:rPr>
        <w:t>the defendant’s “violent actions” which were “observed or</w:t>
      </w:r>
      <w:r w:rsidR="00C218D6" w:rsidRPr="000D670F">
        <w:rPr>
          <w:rFonts w:ascii="Arial" w:eastAsia="Calibri" w:hAnsi="Arial" w:cs="Arial"/>
          <w:sz w:val="24"/>
          <w:szCs w:val="24"/>
        </w:rPr>
        <w:t xml:space="preserve"> </w:t>
      </w:r>
      <w:r w:rsidR="004B49E6" w:rsidRPr="000D670F">
        <w:rPr>
          <w:rFonts w:ascii="Arial" w:eastAsia="Calibri" w:hAnsi="Arial" w:cs="Arial"/>
          <w:sz w:val="24"/>
          <w:szCs w:val="24"/>
          <w:lang w:val="x-none"/>
        </w:rPr>
        <w:t>experienced” by her, and which gave rise to her fear of the</w:t>
      </w:r>
      <w:r w:rsidR="00C218D6" w:rsidRPr="000D670F">
        <w:rPr>
          <w:rFonts w:ascii="Arial" w:eastAsia="Calibri" w:hAnsi="Arial" w:cs="Arial"/>
          <w:sz w:val="24"/>
          <w:szCs w:val="24"/>
        </w:rPr>
        <w:t xml:space="preserve"> </w:t>
      </w:r>
      <w:r w:rsidR="004B49E6" w:rsidRPr="000D670F">
        <w:rPr>
          <w:rFonts w:ascii="Arial" w:eastAsia="Calibri" w:hAnsi="Arial" w:cs="Arial"/>
          <w:sz w:val="24"/>
          <w:szCs w:val="24"/>
          <w:lang w:val="x-none"/>
        </w:rPr>
        <w:t>defendant’s potential violent reaction had she timely</w:t>
      </w:r>
      <w:r w:rsidR="00C218D6" w:rsidRPr="000D670F">
        <w:rPr>
          <w:rFonts w:ascii="Arial" w:eastAsia="Calibri" w:hAnsi="Arial" w:cs="Arial"/>
          <w:sz w:val="24"/>
          <w:szCs w:val="24"/>
        </w:rPr>
        <w:t xml:space="preserve"> </w:t>
      </w:r>
      <w:r w:rsidR="004B49E6" w:rsidRPr="000D670F">
        <w:rPr>
          <w:rFonts w:ascii="Arial" w:eastAsia="Calibri" w:hAnsi="Arial" w:cs="Arial"/>
          <w:sz w:val="24"/>
          <w:szCs w:val="24"/>
          <w:lang w:val="x-none"/>
        </w:rPr>
        <w:t>reported the assault</w:t>
      </w:r>
      <w:r w:rsidR="00A45B62" w:rsidRPr="000D670F">
        <w:rPr>
          <w:rFonts w:ascii="Arial" w:eastAsia="Calibri" w:hAnsi="Arial" w:cs="Arial"/>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D543B" w14:textId="77777777" w:rsidR="00D2344F" w:rsidRDefault="00D2344F" w:rsidP="00A42F15">
      <w:r>
        <w:separator/>
      </w:r>
    </w:p>
  </w:footnote>
  <w:footnote w:type="continuationSeparator" w:id="0">
    <w:p w14:paraId="28FA3C3E" w14:textId="77777777" w:rsidR="00D2344F" w:rsidRDefault="00D2344F" w:rsidP="00A42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3B58DE"/>
    <w:multiLevelType w:val="multilevel"/>
    <w:tmpl w:val="EA4891A8"/>
    <w:lvl w:ilvl="0">
      <w:start w:val="1"/>
      <w:numFmt w:val="decimal"/>
      <w:lvlText w:val="%1."/>
      <w:lvlJc w:val="left"/>
      <w:pPr>
        <w:tabs>
          <w:tab w:val="left" w:pos="216"/>
        </w:tabs>
      </w:pPr>
      <w:rPr>
        <w:rFonts w:ascii="Arial" w:eastAsia="Arial" w:hAnsi="Arial"/>
        <w:i/>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numFmt w:val="decimal"/>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7DB"/>
    <w:rsid w:val="00034C9B"/>
    <w:rsid w:val="0004644C"/>
    <w:rsid w:val="000D59CE"/>
    <w:rsid w:val="000D670F"/>
    <w:rsid w:val="000D7909"/>
    <w:rsid w:val="000F36EA"/>
    <w:rsid w:val="00174266"/>
    <w:rsid w:val="001A74E2"/>
    <w:rsid w:val="0022201A"/>
    <w:rsid w:val="00231A5E"/>
    <w:rsid w:val="00237D35"/>
    <w:rsid w:val="002467C1"/>
    <w:rsid w:val="00246E9E"/>
    <w:rsid w:val="00270923"/>
    <w:rsid w:val="00276011"/>
    <w:rsid w:val="002A00BB"/>
    <w:rsid w:val="002B7A41"/>
    <w:rsid w:val="002C526F"/>
    <w:rsid w:val="002E08D6"/>
    <w:rsid w:val="002F0ABB"/>
    <w:rsid w:val="002F3BB4"/>
    <w:rsid w:val="002F5059"/>
    <w:rsid w:val="002F5F44"/>
    <w:rsid w:val="00307FC5"/>
    <w:rsid w:val="0031320D"/>
    <w:rsid w:val="00357790"/>
    <w:rsid w:val="00380025"/>
    <w:rsid w:val="00387095"/>
    <w:rsid w:val="003B142B"/>
    <w:rsid w:val="003D7CEF"/>
    <w:rsid w:val="003E7435"/>
    <w:rsid w:val="003F0869"/>
    <w:rsid w:val="00412D74"/>
    <w:rsid w:val="00421573"/>
    <w:rsid w:val="004247AF"/>
    <w:rsid w:val="00466CDE"/>
    <w:rsid w:val="00477D22"/>
    <w:rsid w:val="004A0A12"/>
    <w:rsid w:val="004A0C40"/>
    <w:rsid w:val="004B49E6"/>
    <w:rsid w:val="004C0359"/>
    <w:rsid w:val="004E5473"/>
    <w:rsid w:val="004F0A38"/>
    <w:rsid w:val="00570D6D"/>
    <w:rsid w:val="00586A6E"/>
    <w:rsid w:val="005B05F1"/>
    <w:rsid w:val="005C3F08"/>
    <w:rsid w:val="005C7E80"/>
    <w:rsid w:val="005D675E"/>
    <w:rsid w:val="00643A9F"/>
    <w:rsid w:val="0064750B"/>
    <w:rsid w:val="00647D10"/>
    <w:rsid w:val="00676915"/>
    <w:rsid w:val="006E4E4B"/>
    <w:rsid w:val="00732B49"/>
    <w:rsid w:val="00736C83"/>
    <w:rsid w:val="007402D3"/>
    <w:rsid w:val="007B4622"/>
    <w:rsid w:val="007C6DA2"/>
    <w:rsid w:val="0081042A"/>
    <w:rsid w:val="008443E6"/>
    <w:rsid w:val="008C0435"/>
    <w:rsid w:val="008C659B"/>
    <w:rsid w:val="0091489A"/>
    <w:rsid w:val="00953F34"/>
    <w:rsid w:val="00960F88"/>
    <w:rsid w:val="0097142F"/>
    <w:rsid w:val="00972CE7"/>
    <w:rsid w:val="009B5D37"/>
    <w:rsid w:val="009C5BB7"/>
    <w:rsid w:val="009E12BF"/>
    <w:rsid w:val="00A04442"/>
    <w:rsid w:val="00A27855"/>
    <w:rsid w:val="00A42F15"/>
    <w:rsid w:val="00A45B62"/>
    <w:rsid w:val="00A53E73"/>
    <w:rsid w:val="00A6185F"/>
    <w:rsid w:val="00A65646"/>
    <w:rsid w:val="00AE0DF0"/>
    <w:rsid w:val="00AE4620"/>
    <w:rsid w:val="00AF53CB"/>
    <w:rsid w:val="00B27D20"/>
    <w:rsid w:val="00B40BA3"/>
    <w:rsid w:val="00B735ED"/>
    <w:rsid w:val="00B832EE"/>
    <w:rsid w:val="00B87F3B"/>
    <w:rsid w:val="00B912B0"/>
    <w:rsid w:val="00B979B0"/>
    <w:rsid w:val="00BC67DB"/>
    <w:rsid w:val="00C05DBA"/>
    <w:rsid w:val="00C13E0E"/>
    <w:rsid w:val="00C218D6"/>
    <w:rsid w:val="00C72731"/>
    <w:rsid w:val="00C947AC"/>
    <w:rsid w:val="00C95977"/>
    <w:rsid w:val="00D20DEE"/>
    <w:rsid w:val="00D2344F"/>
    <w:rsid w:val="00D82568"/>
    <w:rsid w:val="00DA469F"/>
    <w:rsid w:val="00DD3BF3"/>
    <w:rsid w:val="00E13578"/>
    <w:rsid w:val="00E82D41"/>
    <w:rsid w:val="00E94F61"/>
    <w:rsid w:val="00EA78FE"/>
    <w:rsid w:val="00EB7C04"/>
    <w:rsid w:val="00EC0B03"/>
    <w:rsid w:val="00ED31DC"/>
    <w:rsid w:val="00F61CD5"/>
    <w:rsid w:val="00F639E9"/>
    <w:rsid w:val="00F67812"/>
    <w:rsid w:val="00F92600"/>
    <w:rsid w:val="00F947AC"/>
    <w:rsid w:val="00FA47C4"/>
    <w:rsid w:val="00FB69EC"/>
    <w:rsid w:val="00FC0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2CD59"/>
  <w15:docId w15:val="{CCDD7DAC-AEB9-45C9-B7B0-1EF0E5F7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8C659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42F15"/>
    <w:rPr>
      <w:sz w:val="20"/>
      <w:szCs w:val="20"/>
    </w:rPr>
  </w:style>
  <w:style w:type="character" w:customStyle="1" w:styleId="FootnoteTextChar">
    <w:name w:val="Footnote Text Char"/>
    <w:basedOn w:val="DefaultParagraphFont"/>
    <w:link w:val="FootnoteText"/>
    <w:uiPriority w:val="99"/>
    <w:semiHidden/>
    <w:rsid w:val="00A42F15"/>
    <w:rPr>
      <w:sz w:val="20"/>
      <w:szCs w:val="20"/>
    </w:rPr>
  </w:style>
  <w:style w:type="character" w:styleId="FootnoteReference">
    <w:name w:val="footnote reference"/>
    <w:basedOn w:val="DefaultParagraphFont"/>
    <w:uiPriority w:val="99"/>
    <w:semiHidden/>
    <w:unhideWhenUsed/>
    <w:rsid w:val="00A42F15"/>
    <w:rPr>
      <w:vertAlign w:val="superscript"/>
    </w:rPr>
  </w:style>
  <w:style w:type="paragraph" w:styleId="EndnoteText">
    <w:name w:val="endnote text"/>
    <w:basedOn w:val="Normal"/>
    <w:link w:val="EndnoteTextChar"/>
    <w:uiPriority w:val="99"/>
    <w:unhideWhenUsed/>
    <w:rsid w:val="00A42F15"/>
    <w:rPr>
      <w:sz w:val="20"/>
      <w:szCs w:val="20"/>
    </w:rPr>
  </w:style>
  <w:style w:type="character" w:customStyle="1" w:styleId="EndnoteTextChar">
    <w:name w:val="Endnote Text Char"/>
    <w:basedOn w:val="DefaultParagraphFont"/>
    <w:link w:val="EndnoteText"/>
    <w:uiPriority w:val="99"/>
    <w:rsid w:val="00A42F15"/>
    <w:rPr>
      <w:sz w:val="20"/>
      <w:szCs w:val="20"/>
    </w:rPr>
  </w:style>
  <w:style w:type="character" w:styleId="EndnoteReference">
    <w:name w:val="endnote reference"/>
    <w:basedOn w:val="DefaultParagraphFont"/>
    <w:uiPriority w:val="99"/>
    <w:semiHidden/>
    <w:unhideWhenUsed/>
    <w:rsid w:val="00A42F15"/>
    <w:rPr>
      <w:vertAlign w:val="superscript"/>
    </w:rPr>
  </w:style>
  <w:style w:type="character" w:customStyle="1" w:styleId="Heading1Char">
    <w:name w:val="Heading 1 Char"/>
    <w:basedOn w:val="DefaultParagraphFont"/>
    <w:link w:val="Heading1"/>
    <w:uiPriority w:val="9"/>
    <w:rsid w:val="008C659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864371">
      <w:bodyDiv w:val="1"/>
      <w:marLeft w:val="0"/>
      <w:marRight w:val="0"/>
      <w:marTop w:val="0"/>
      <w:marBottom w:val="0"/>
      <w:divBdr>
        <w:top w:val="none" w:sz="0" w:space="0" w:color="auto"/>
        <w:left w:val="none" w:sz="0" w:space="0" w:color="auto"/>
        <w:bottom w:val="none" w:sz="0" w:space="0" w:color="auto"/>
        <w:right w:val="none" w:sz="0" w:space="0" w:color="auto"/>
      </w:divBdr>
    </w:div>
    <w:div w:id="506864999">
      <w:bodyDiv w:val="1"/>
      <w:marLeft w:val="0"/>
      <w:marRight w:val="0"/>
      <w:marTop w:val="0"/>
      <w:marBottom w:val="0"/>
      <w:divBdr>
        <w:top w:val="none" w:sz="0" w:space="0" w:color="auto"/>
        <w:left w:val="none" w:sz="0" w:space="0" w:color="auto"/>
        <w:bottom w:val="none" w:sz="0" w:space="0" w:color="auto"/>
        <w:right w:val="none" w:sz="0" w:space="0" w:color="auto"/>
      </w:divBdr>
      <w:divsChild>
        <w:div w:id="851453218">
          <w:marLeft w:val="0"/>
          <w:marRight w:val="0"/>
          <w:marTop w:val="0"/>
          <w:marBottom w:val="0"/>
          <w:divBdr>
            <w:top w:val="none" w:sz="0" w:space="0" w:color="auto"/>
            <w:left w:val="none" w:sz="0" w:space="0" w:color="auto"/>
            <w:bottom w:val="none" w:sz="0" w:space="0" w:color="auto"/>
            <w:right w:val="none" w:sz="0" w:space="0" w:color="auto"/>
          </w:divBdr>
          <w:divsChild>
            <w:div w:id="893006526">
              <w:marLeft w:val="0"/>
              <w:marRight w:val="0"/>
              <w:marTop w:val="0"/>
              <w:marBottom w:val="0"/>
              <w:divBdr>
                <w:top w:val="none" w:sz="0" w:space="0" w:color="auto"/>
                <w:left w:val="none" w:sz="0" w:space="0" w:color="auto"/>
                <w:bottom w:val="none" w:sz="0" w:space="0" w:color="auto"/>
                <w:right w:val="none" w:sz="0" w:space="0" w:color="auto"/>
              </w:divBdr>
              <w:divsChild>
                <w:div w:id="1976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032112">
      <w:bodyDiv w:val="1"/>
      <w:marLeft w:val="0"/>
      <w:marRight w:val="0"/>
      <w:marTop w:val="0"/>
      <w:marBottom w:val="0"/>
      <w:divBdr>
        <w:top w:val="none" w:sz="0" w:space="0" w:color="auto"/>
        <w:left w:val="none" w:sz="0" w:space="0" w:color="auto"/>
        <w:bottom w:val="none" w:sz="0" w:space="0" w:color="auto"/>
        <w:right w:val="none" w:sz="0" w:space="0" w:color="auto"/>
      </w:divBdr>
    </w:div>
    <w:div w:id="1009330205">
      <w:bodyDiv w:val="1"/>
      <w:marLeft w:val="0"/>
      <w:marRight w:val="0"/>
      <w:marTop w:val="0"/>
      <w:marBottom w:val="0"/>
      <w:divBdr>
        <w:top w:val="none" w:sz="0" w:space="0" w:color="auto"/>
        <w:left w:val="none" w:sz="0" w:space="0" w:color="auto"/>
        <w:bottom w:val="none" w:sz="0" w:space="0" w:color="auto"/>
        <w:right w:val="none" w:sz="0" w:space="0" w:color="auto"/>
      </w:divBdr>
    </w:div>
    <w:div w:id="1198854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E8556-B159-4047-A021-386FC5C6F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Donnino</dc:creator>
  <cp:lastModifiedBy>Hon. William Donnino</cp:lastModifiedBy>
  <cp:revision>123</cp:revision>
  <dcterms:created xsi:type="dcterms:W3CDTF">2020-02-14T02:42:00Z</dcterms:created>
  <dcterms:modified xsi:type="dcterms:W3CDTF">2020-11-06T18:35:00Z</dcterms:modified>
</cp:coreProperties>
</file>